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宋体" w:cs="Times New Roman"/>
          <w:b/>
          <w:bCs/>
          <w:sz w:val="32"/>
          <w:szCs w:val="32"/>
          <w:lang w:val="zh-CN"/>
        </w:rPr>
      </w:pPr>
      <w:r>
        <w:rPr>
          <w:rFonts w:ascii="Times New Roman" w:hAnsi="宋体" w:eastAsia="宋体" w:cs="Times New Roman"/>
          <w:b/>
          <w:bCs/>
          <w:sz w:val="32"/>
          <w:szCs w:val="32"/>
        </w:rPr>
        <w:t>徐州工程学院教育教学研究课题</w:t>
      </w:r>
      <w:r>
        <w:rPr>
          <w:rFonts w:ascii="Times New Roman" w:hAnsi="宋体" w:eastAsia="宋体" w:cs="Times New Roman"/>
          <w:b/>
          <w:bCs/>
          <w:sz w:val="32"/>
          <w:szCs w:val="32"/>
          <w:lang w:val="zh-CN"/>
        </w:rPr>
        <w:t>经费管理与</w:t>
      </w:r>
      <w:r>
        <w:rPr>
          <w:rFonts w:ascii="Times New Roman" w:hAnsi="宋体" w:eastAsia="宋体" w:cs="Times New Roman"/>
          <w:b/>
          <w:bCs/>
          <w:sz w:val="32"/>
          <w:szCs w:val="32"/>
        </w:rPr>
        <w:t>成果</w:t>
      </w:r>
      <w:r>
        <w:rPr>
          <w:rFonts w:ascii="Times New Roman" w:hAnsi="宋体" w:eastAsia="宋体" w:cs="Times New Roman"/>
          <w:b/>
          <w:bCs/>
          <w:sz w:val="32"/>
          <w:szCs w:val="32"/>
          <w:lang w:val="zh-CN"/>
        </w:rPr>
        <w:t>奖励办法</w:t>
      </w:r>
    </w:p>
    <w:p>
      <w:pPr>
        <w:jc w:val="center"/>
        <w:rPr>
          <w:rFonts w:ascii="Times New Roman" w:hAnsi="宋体" w:eastAsia="宋体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Times New Roman" w:hAnsi="宋体" w:eastAsia="宋体" w:cs="Times New Roman"/>
          <w:b w:val="0"/>
          <w:bCs w:val="0"/>
          <w:sz w:val="32"/>
          <w:szCs w:val="32"/>
          <w:lang w:val="zh-CN"/>
        </w:rPr>
        <w:t>徐工院教评发〔2019〕2号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宋体" w:eastAsia="宋体" w:cs="Times New Roman"/>
          <w:b/>
          <w:bCs/>
          <w:sz w:val="32"/>
          <w:szCs w:val="32"/>
          <w:lang w:val="zh-CN"/>
        </w:rPr>
        <w:t>一、总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 xml:space="preserve">  </w:t>
      </w:r>
      <w:r>
        <w:rPr>
          <w:rFonts w:ascii="Times New Roman" w:hAnsi="宋体" w:eastAsia="宋体" w:cs="Times New Roman"/>
          <w:b/>
          <w:bCs/>
          <w:sz w:val="32"/>
          <w:szCs w:val="32"/>
          <w:lang w:val="zh-CN"/>
        </w:rPr>
        <w:t>则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sz w:val="32"/>
          <w:szCs w:val="32"/>
          <w:lang w:val="zh-CN"/>
        </w:rPr>
        <w:t>为进一步规范教育教学研究管理，充分调动广大教职工</w:t>
      </w:r>
      <w:r>
        <w:rPr>
          <w:rFonts w:ascii="Times New Roman" w:cs="Times New Roman" w:hAnsiTheme="minorEastAsia"/>
          <w:sz w:val="32"/>
          <w:szCs w:val="32"/>
        </w:rPr>
        <w:t>参加教育教学研究工作的积极性</w:t>
      </w:r>
      <w:r>
        <w:rPr>
          <w:rFonts w:ascii="Times New Roman" w:cs="Times New Roman" w:hAnsiTheme="minorEastAsia"/>
          <w:sz w:val="32"/>
          <w:szCs w:val="32"/>
          <w:lang w:val="zh-CN"/>
        </w:rPr>
        <w:t>，促进教育教学水平提高，结合学校实际，特制定本办法</w:t>
      </w:r>
      <w:r>
        <w:rPr>
          <w:rFonts w:ascii="Times New Roman" w:cs="Times New Roman" w:hAnsiTheme="minorEastAsia"/>
          <w:sz w:val="32"/>
          <w:szCs w:val="32"/>
        </w:rPr>
        <w:t>。</w:t>
      </w:r>
    </w:p>
    <w:p>
      <w:pPr>
        <w:autoSpaceDE w:val="0"/>
        <w:autoSpaceDN w:val="0"/>
        <w:spacing w:beforeLines="50" w:afterLines="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</w:rPr>
        <w:t>二、教育教学研究课题配套经费管理</w:t>
      </w:r>
    </w:p>
    <w:p>
      <w:pPr>
        <w:spacing w:line="360" w:lineRule="auto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b/>
          <w:bCs/>
          <w:sz w:val="32"/>
          <w:szCs w:val="32"/>
        </w:rPr>
        <w:t>第一条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cs="Times New Roman" w:hAnsiTheme="minorEastAsia"/>
          <w:sz w:val="32"/>
          <w:szCs w:val="32"/>
        </w:rPr>
        <w:t>配套经费的来源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sz w:val="32"/>
          <w:szCs w:val="32"/>
        </w:rPr>
        <w:t>学校按照教育教学研究工作实际需要，编制年度教育教学研究项目经费预算，设立专项账户。教育教学研究课题配套经费由该专项账户支出。</w:t>
      </w:r>
    </w:p>
    <w:p>
      <w:pPr>
        <w:spacing w:line="360" w:lineRule="auto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b/>
          <w:bCs/>
          <w:sz w:val="32"/>
          <w:szCs w:val="32"/>
        </w:rPr>
        <w:t>第二条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cs="Times New Roman" w:hAnsiTheme="minorEastAsia"/>
          <w:sz w:val="32"/>
          <w:szCs w:val="32"/>
        </w:rPr>
        <w:t>配套经费的标准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cs="Times New Roman" w:hAnsiTheme="minorEastAsia"/>
          <w:sz w:val="32"/>
          <w:szCs w:val="32"/>
        </w:rPr>
        <w:t>教育教学研究课题立项单位有配套经费规定的，按课题立项单位的规定标准执行。无规定的，课题配套经费标准按表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cs="Times New Roman" w:hAnsiTheme="minorEastAsia"/>
          <w:sz w:val="32"/>
          <w:szCs w:val="32"/>
        </w:rPr>
        <w:t>执行。</w:t>
      </w:r>
    </w:p>
    <w:p>
      <w:pPr>
        <w:spacing w:line="580" w:lineRule="exact"/>
        <w:ind w:firstLine="48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80" w:lineRule="exact"/>
        <w:ind w:firstLine="48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80" w:lineRule="exact"/>
        <w:ind w:firstLine="48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80" w:lineRule="exact"/>
        <w:ind w:firstLine="48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80" w:lineRule="exact"/>
        <w:ind w:firstLine="48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cs="Times New Roman" w:hAnsiTheme="minorEastAsia"/>
          <w:b/>
          <w:bCs/>
          <w:szCs w:val="21"/>
        </w:rPr>
      </w:pPr>
    </w:p>
    <w:p>
      <w:pPr>
        <w:spacing w:line="580" w:lineRule="exact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 w:hAnsiTheme="minorEastAsia"/>
          <w:b/>
          <w:bCs/>
          <w:szCs w:val="21"/>
        </w:rPr>
        <w:t>表</w:t>
      </w:r>
      <w:r>
        <w:rPr>
          <w:rFonts w:ascii="Times New Roman" w:hAnsi="Times New Roman" w:cs="Times New Roman"/>
          <w:b/>
          <w:bCs/>
          <w:szCs w:val="21"/>
        </w:rPr>
        <w:t xml:space="preserve">1   </w:t>
      </w:r>
      <w:r>
        <w:rPr>
          <w:rFonts w:ascii="Times New Roman" w:cs="Times New Roman" w:hAnsiTheme="minorEastAsia"/>
          <w:b/>
          <w:bCs/>
          <w:szCs w:val="21"/>
        </w:rPr>
        <w:t>教育教学研究课题配套经费标准</w:t>
      </w:r>
    </w:p>
    <w:tbl>
      <w:tblPr>
        <w:tblStyle w:val="5"/>
        <w:tblpPr w:leftFromText="180" w:rightFromText="180" w:vertAnchor="text" w:horzAnchor="page" w:tblpX="2010" w:tblpY="318"/>
        <w:tblOverlap w:val="never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77"/>
        <w:gridCol w:w="231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6" w:type="dxa"/>
            <w:vAlign w:val="center"/>
          </w:tcPr>
          <w:p>
            <w:pPr>
              <w:ind w:left="211" w:hanging="211" w:hangingChars="10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课题</w:t>
            </w:r>
          </w:p>
          <w:p>
            <w:pPr>
              <w:ind w:left="211" w:hanging="211" w:hangingChars="10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级别</w:t>
            </w:r>
          </w:p>
        </w:tc>
        <w:tc>
          <w:tcPr>
            <w:tcW w:w="5289" w:type="dxa"/>
            <w:gridSpan w:val="2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课题类别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配套经费标准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国家级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全国教育科学规划办教育科学规划课题（国家社科基金教育学课题）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一般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青年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1260" w:hanging="1260" w:hangingChars="6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国家社科基金后期资助项目</w:t>
            </w:r>
          </w:p>
          <w:p>
            <w:pPr>
              <w:ind w:left="1260" w:hanging="1260" w:hangingChars="6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cs="Times New Roman" w:hAnsiTheme="minorEastAsia"/>
                <w:szCs w:val="21"/>
              </w:rPr>
              <w:t>教育学）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国家一般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省部级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全国教育科学规划办教育科学规划课题（教育部课题）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教育部重点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tabs>
                <w:tab w:val="left" w:pos="202"/>
                <w:tab w:val="center" w:pos="1099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教育部青年专项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1:1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省教育科学规划课题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（含青年、专项）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重点自筹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0.8万元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省高等教育教改研究课题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（含出版社合作、专项）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0.8万元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中国高教学会高等教育科学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研究规划课题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tabs>
                <w:tab w:val="left" w:pos="479"/>
                <w:tab w:val="center" w:pos="1001"/>
              </w:tabs>
              <w:ind w:firstLine="660" w:firstLineChars="3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中央电教馆全国教育信息化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课题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 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省教育厅其它课题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市厅级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省现代教育技术研究课题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（含专项）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省高教学会规划课题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1:0.8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省教育信息化课题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1:0.8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6" w:type="dxa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校级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校级教研课题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6" w:type="dxa"/>
            <w:vMerge w:val="continue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0.3万元 </w:t>
            </w:r>
          </w:p>
        </w:tc>
      </w:tr>
    </w:tbl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spacing w:beforeLines="5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cs="Times New Roman" w:hAnsiTheme="minorEastAsia"/>
          <w:sz w:val="32"/>
          <w:szCs w:val="32"/>
        </w:rPr>
        <w:t>未列入表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cs="Times New Roman" w:hAnsiTheme="minorEastAsia"/>
          <w:sz w:val="32"/>
          <w:szCs w:val="32"/>
        </w:rPr>
        <w:t>中的其它课题，需在课题组织申报前报高教研究与评估中心备案，获批的立项课题经高教研究与评估中心核定后，配套经费参照同级别课题配套经费标准予以执行。教育部高教司</w:t>
      </w:r>
      <w:r>
        <w:rPr>
          <w:rFonts w:hint="eastAsia" w:ascii="Times New Roman" w:cs="Times New Roman" w:hAnsiTheme="minorEastAsia"/>
          <w:sz w:val="32"/>
          <w:szCs w:val="32"/>
        </w:rPr>
        <w:t>产学研</w:t>
      </w:r>
      <w:r>
        <w:rPr>
          <w:rFonts w:ascii="Times New Roman" w:cs="Times New Roman" w:hAnsiTheme="minorEastAsia"/>
          <w:sz w:val="32"/>
          <w:szCs w:val="32"/>
        </w:rPr>
        <w:t>合作育人项目课题等由企业资助的课题</w:t>
      </w:r>
      <w:r>
        <w:rPr>
          <w:rFonts w:hint="eastAsia" w:ascii="Times New Roman" w:cs="Times New Roman" w:hAnsiTheme="minorEastAsia"/>
          <w:sz w:val="32"/>
          <w:szCs w:val="32"/>
        </w:rPr>
        <w:t>，</w:t>
      </w:r>
      <w:r>
        <w:rPr>
          <w:rFonts w:ascii="Times New Roman" w:cs="Times New Roman" w:hAnsiTheme="minorEastAsia"/>
          <w:sz w:val="32"/>
          <w:szCs w:val="32"/>
        </w:rPr>
        <w:t>视为横向课题</w:t>
      </w:r>
      <w:r>
        <w:rPr>
          <w:rFonts w:hint="eastAsia" w:ascii="Times New Roman" w:cs="Times New Roman" w:hAnsiTheme="minorEastAsia"/>
          <w:sz w:val="32"/>
          <w:szCs w:val="32"/>
        </w:rPr>
        <w:t>，</w:t>
      </w:r>
      <w:r>
        <w:rPr>
          <w:rFonts w:ascii="Times New Roman" w:cs="Times New Roman" w:hAnsiTheme="minorEastAsia"/>
          <w:sz w:val="32"/>
          <w:szCs w:val="32"/>
        </w:rPr>
        <w:t>学校不予经费配套</w:t>
      </w:r>
      <w:r>
        <w:rPr>
          <w:rFonts w:hint="eastAsia" w:ascii="Times New Roman" w:cs="Times New Roman" w:hAnsiTheme="minorEastAsia"/>
          <w:sz w:val="32"/>
          <w:szCs w:val="32"/>
        </w:rPr>
        <w:t>。</w:t>
      </w:r>
    </w:p>
    <w:p>
      <w:pPr>
        <w:spacing w:beforeLines="50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b/>
          <w:bCs/>
          <w:sz w:val="32"/>
          <w:szCs w:val="32"/>
        </w:rPr>
        <w:t>第三条</w:t>
      </w:r>
      <w:r>
        <w:rPr>
          <w:rFonts w:ascii="Times New Roman" w:hAnsi="Times New Roman" w:cs="Times New Roman"/>
          <w:sz w:val="32"/>
          <w:szCs w:val="32"/>
        </w:rPr>
        <w:t xml:space="preserve">  经费</w:t>
      </w:r>
      <w:r>
        <w:rPr>
          <w:rFonts w:ascii="Times New Roman" w:cs="Times New Roman" w:hAnsiTheme="minorEastAsia"/>
          <w:sz w:val="32"/>
          <w:szCs w:val="32"/>
        </w:rPr>
        <w:t>管理细则</w:t>
      </w:r>
    </w:p>
    <w:p>
      <w:pPr>
        <w:spacing w:beforeLines="5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sz w:val="32"/>
          <w:szCs w:val="32"/>
        </w:rPr>
        <w:t>教育教学研究课题</w:t>
      </w:r>
      <w:r>
        <w:rPr>
          <w:rFonts w:hint="eastAsia" w:ascii="Times New Roman" w:cs="Times New Roman" w:hAnsiTheme="minorEastAsia"/>
          <w:sz w:val="32"/>
          <w:szCs w:val="32"/>
        </w:rPr>
        <w:t>经费</w:t>
      </w:r>
      <w:r>
        <w:rPr>
          <w:rFonts w:ascii="Times New Roman" w:cs="Times New Roman" w:hAnsiTheme="minorEastAsia"/>
          <w:sz w:val="32"/>
          <w:szCs w:val="32"/>
        </w:rPr>
        <w:t>管理细则参照《徐州工程学院科研项目绩效奖励与配套经费管理暂行规定》（徐工院科发</w:t>
      </w:r>
      <w:r>
        <w:rPr>
          <w:rFonts w:ascii="Times New Roman" w:hAnsi="Times New Roman" w:cs="Times New Roman"/>
          <w:sz w:val="32"/>
          <w:szCs w:val="32"/>
        </w:rPr>
        <w:t>[2017]3</w:t>
      </w:r>
      <w:r>
        <w:rPr>
          <w:rFonts w:ascii="Times New Roman" w:cs="Times New Roman" w:hAnsiTheme="minorEastAsia"/>
          <w:sz w:val="32"/>
          <w:szCs w:val="32"/>
        </w:rPr>
        <w:t>号）的相关规定执行。</w:t>
      </w:r>
    </w:p>
    <w:p>
      <w:pPr>
        <w:autoSpaceDE w:val="0"/>
        <w:autoSpaceDN w:val="0"/>
        <w:spacing w:beforeLines="50" w:afterLines="50"/>
        <w:ind w:firstLine="643" w:firstLineChars="2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  <w:lang w:val="zh-CN"/>
        </w:rPr>
        <w:t>三、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教育教学研究成果奖励</w:t>
      </w:r>
    </w:p>
    <w:p>
      <w:pPr>
        <w:spacing w:line="360" w:lineRule="auto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b/>
          <w:bCs/>
          <w:sz w:val="32"/>
          <w:szCs w:val="32"/>
          <w:lang w:val="zh-CN"/>
        </w:rPr>
        <w:t>第四条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cs="Times New Roman" w:hAnsiTheme="minorEastAsia"/>
          <w:sz w:val="32"/>
          <w:szCs w:val="32"/>
        </w:rPr>
        <w:t>教育教学研究</w:t>
      </w:r>
      <w:r>
        <w:rPr>
          <w:rFonts w:ascii="Times New Roman" w:cs="Times New Roman" w:hAnsiTheme="minorEastAsia"/>
          <w:sz w:val="32"/>
          <w:szCs w:val="32"/>
          <w:lang w:val="zh-CN"/>
        </w:rPr>
        <w:t>成果的范围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cs="Times New Roman" w:hAnsiTheme="minorEastAsia"/>
          <w:sz w:val="32"/>
          <w:szCs w:val="32"/>
        </w:rPr>
        <w:t>各级各类教育教学研究课题；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cs="Times New Roman" w:hAnsiTheme="minorEastAsia"/>
          <w:sz w:val="32"/>
          <w:szCs w:val="32"/>
        </w:rPr>
        <w:t>教育教学研究成果获奖；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cs="Times New Roman" w:hAnsiTheme="minorEastAsia"/>
          <w:sz w:val="32"/>
          <w:szCs w:val="32"/>
        </w:rPr>
        <w:t>公开出版、发表的教育教学研究类论文、专著、编译著等其它成果。</w:t>
      </w:r>
    </w:p>
    <w:p>
      <w:pPr>
        <w:spacing w:line="360" w:lineRule="auto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b/>
          <w:bCs/>
          <w:sz w:val="32"/>
          <w:szCs w:val="32"/>
          <w:lang w:val="zh-CN"/>
        </w:rPr>
        <w:t>第五条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cs="Times New Roman" w:hAnsiTheme="minorEastAsia"/>
          <w:sz w:val="32"/>
          <w:szCs w:val="32"/>
          <w:lang w:val="zh-CN"/>
        </w:rPr>
        <w:t>奖励内容与标准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>
        <w:rPr>
          <w:rFonts w:ascii="Times New Roman" w:cs="Times New Roman" w:hAnsiTheme="minorEastAsia"/>
          <w:sz w:val="32"/>
          <w:szCs w:val="32"/>
        </w:rPr>
        <w:t>教育教学研究课题奖励内容与标准按表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cs="Times New Roman" w:hAnsiTheme="minorEastAsia"/>
          <w:sz w:val="32"/>
          <w:szCs w:val="32"/>
        </w:rPr>
        <w:t>执行。</w:t>
      </w: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ind w:firstLine="2319" w:firstLineChars="11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 w:hAnsiTheme="minorEastAsia"/>
          <w:b/>
          <w:bCs/>
          <w:szCs w:val="21"/>
        </w:rPr>
        <w:t>表</w:t>
      </w:r>
      <w:r>
        <w:rPr>
          <w:rFonts w:ascii="Times New Roman" w:hAnsi="Times New Roman" w:cs="Times New Roman"/>
          <w:b/>
          <w:bCs/>
          <w:szCs w:val="21"/>
        </w:rPr>
        <w:t xml:space="preserve">2  </w:t>
      </w:r>
      <w:r>
        <w:rPr>
          <w:rFonts w:ascii="Times New Roman" w:cs="Times New Roman" w:hAnsiTheme="minorEastAsia"/>
          <w:b/>
          <w:bCs/>
          <w:szCs w:val="21"/>
        </w:rPr>
        <w:t>教育教学研究课题的奖励内容与标准</w:t>
      </w:r>
    </w:p>
    <w:p>
      <w:pPr>
        <w:ind w:firstLine="2319" w:firstLineChars="1100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5"/>
        <w:tblW w:w="8219" w:type="dxa"/>
        <w:jc w:val="center"/>
        <w:tblInd w:w="-1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55"/>
        <w:gridCol w:w="229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70" w:type="dxa"/>
            <w:vAlign w:val="center"/>
          </w:tcPr>
          <w:p>
            <w:pPr>
              <w:ind w:left="211" w:hanging="211" w:hangingChars="10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课题</w:t>
            </w:r>
          </w:p>
          <w:p>
            <w:pPr>
              <w:ind w:left="211" w:hanging="211" w:hangingChars="10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级别</w:t>
            </w:r>
          </w:p>
        </w:tc>
        <w:tc>
          <w:tcPr>
            <w:tcW w:w="5250" w:type="dxa"/>
            <w:gridSpan w:val="2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课题类别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科研分值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国家级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全国教育科学规划办教育科学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规划课题（国家社科基金教育</w:t>
            </w:r>
          </w:p>
          <w:p>
            <w:pPr>
              <w:ind w:left="840" w:hanging="840" w:hangingChars="4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学课题）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国家一般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国家青年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00/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750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/300/300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ind w:left="1260" w:hanging="1260" w:hangingChars="6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国家社科基金后期资助项目</w:t>
            </w:r>
          </w:p>
          <w:p>
            <w:pPr>
              <w:ind w:left="1260" w:hanging="1260" w:hangingChars="6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cs="Times New Roman" w:hAnsiTheme="minorEastAsia"/>
                <w:szCs w:val="21"/>
              </w:rPr>
              <w:t>教育学）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省部级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全国教育科学规划办教育科学规划课题（教育部课题）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教育部重点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教育部青年专项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200/150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省教育科学规划课题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（含青年、专项）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重点自筹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200/100/75/50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省高等教育教改研究课题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（含出版社合作、专项）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200/100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中国高教学会高等教育科学研究规划课题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100/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中央电教馆全国教育信息化课题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省教育厅其它课题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市厅级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省现代教育技术研究课题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（含专项）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省高教学会规划课题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60/30/15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省教育信息化课题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校级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zh-CN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校级教研课题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重点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立项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5/3</w:t>
            </w:r>
          </w:p>
        </w:tc>
      </w:tr>
    </w:tbl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备注</w:t>
      </w:r>
      <w:r>
        <w:rPr>
          <w:rFonts w:ascii="Times New Roman" w:cs="Times New Roman" w:hAnsiTheme="minorEastAsia"/>
          <w:szCs w:val="21"/>
        </w:rPr>
        <w:t>：</w:t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凡上表中没有列出的课题，如教育部高教司产学研合作育人项目课题</w:t>
      </w:r>
      <w:r>
        <w:rPr>
          <w:rFonts w:hint="eastAsia" w:ascii="Times New Roman" w:cs="Times New Roman" w:hAnsiTheme="minorEastAsia"/>
          <w:bCs/>
          <w:szCs w:val="21"/>
        </w:rPr>
        <w:t>，</w:t>
      </w:r>
      <w:r>
        <w:rPr>
          <w:rFonts w:ascii="Times New Roman" w:cs="Times New Roman" w:hAnsiTheme="minorEastAsia"/>
          <w:bCs/>
          <w:szCs w:val="21"/>
        </w:rPr>
        <w:t>有经费资助的，按</w:t>
      </w: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cs="Times New Roman" w:hAnsiTheme="minorEastAsia"/>
          <w:bCs/>
          <w:szCs w:val="21"/>
        </w:rPr>
        <w:t>分</w:t>
      </w:r>
      <w:r>
        <w:rPr>
          <w:rFonts w:ascii="Times New Roman" w:hAnsi="Times New Roman" w:cs="Times New Roman"/>
          <w:bCs/>
          <w:szCs w:val="21"/>
        </w:rPr>
        <w:t>/</w:t>
      </w:r>
      <w:r>
        <w:rPr>
          <w:rFonts w:ascii="Times New Roman" w:cs="Times New Roman" w:hAnsiTheme="minorEastAsia"/>
          <w:bCs/>
          <w:szCs w:val="21"/>
        </w:rPr>
        <w:t>万元核定；无经费资助的，原则上不予奖励。</w:t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  <w:bCs/>
          <w:szCs w:val="21"/>
          <w:lang w:val="zh-CN"/>
        </w:rPr>
      </w:pPr>
      <w:r>
        <w:rPr>
          <w:rFonts w:ascii="Times New Roman" w:cs="Times New Roman" w:hAnsiTheme="minorEastAsia"/>
          <w:bCs/>
          <w:szCs w:val="21"/>
          <w:lang w:val="zh-CN"/>
        </w:rPr>
        <w:t>校级教研课题工作量以通过鉴定（验收）计算，其他教研课题以立项计算。</w:t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  <w:lang w:val="zh-CN"/>
        </w:rPr>
        <w:t>打</w:t>
      </w:r>
      <w:r>
        <w:rPr>
          <w:rFonts w:ascii="Times New Roman" w:hAnsi="Times New Roman" w:cs="Times New Roman"/>
          <w:bCs/>
          <w:szCs w:val="21"/>
          <w:lang w:val="zh-CN"/>
        </w:rPr>
        <w:t>“*”</w:t>
      </w:r>
      <w:r>
        <w:rPr>
          <w:rFonts w:ascii="Times New Roman" w:cs="Times New Roman" w:hAnsiTheme="minorEastAsia"/>
          <w:bCs/>
          <w:szCs w:val="21"/>
          <w:lang w:val="zh-CN"/>
        </w:rPr>
        <w:t>者为二类科研分值，其余皆为一类科研分值。</w:t>
      </w:r>
    </w:p>
    <w:p>
      <w:pPr>
        <w:ind w:left="420" w:leftChars="200"/>
        <w:rPr>
          <w:rFonts w:ascii="Times New Roman" w:hAnsi="Times New Roman" w:cs="Times New Roman"/>
          <w:bCs/>
          <w:szCs w:val="21"/>
        </w:rPr>
      </w:pPr>
    </w:p>
    <w:p>
      <w:pPr>
        <w:spacing w:line="360" w:lineRule="auto"/>
        <w:ind w:firstLine="596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pacing w:val="-11"/>
          <w:sz w:val="32"/>
          <w:szCs w:val="32"/>
        </w:rPr>
        <w:t>2.</w:t>
      </w:r>
      <w:r>
        <w:rPr>
          <w:rFonts w:ascii="Times New Roman" w:cs="Times New Roman" w:hAnsiTheme="minorEastAsia" w:eastAsiaTheme="minorEastAsia"/>
          <w:spacing w:val="-11"/>
          <w:sz w:val="32"/>
          <w:szCs w:val="32"/>
        </w:rPr>
        <w:t>教育教学研究成果获奖的奖励内容与标准按表</w:t>
      </w:r>
      <w:r>
        <w:rPr>
          <w:rFonts w:ascii="Times New Roman" w:hAnsi="Times New Roman" w:cs="Times New Roman" w:eastAsiaTheme="minorEastAsia"/>
          <w:spacing w:val="-11"/>
          <w:sz w:val="32"/>
          <w:szCs w:val="32"/>
        </w:rPr>
        <w:t>3</w:t>
      </w:r>
      <w:r>
        <w:rPr>
          <w:rFonts w:ascii="Times New Roman" w:cs="Times New Roman" w:hAnsiTheme="minorEastAsia" w:eastAsiaTheme="minorEastAsia"/>
          <w:spacing w:val="-11"/>
          <w:sz w:val="32"/>
          <w:szCs w:val="32"/>
        </w:rPr>
        <w:t>执行。</w:t>
      </w:r>
    </w:p>
    <w:p>
      <w:pPr>
        <w:ind w:firstLine="2530" w:firstLineChars="1200"/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  <w:b/>
          <w:bCs/>
          <w:szCs w:val="21"/>
        </w:rPr>
        <w:t>表</w:t>
      </w:r>
      <w:r>
        <w:rPr>
          <w:rFonts w:ascii="Times New Roman" w:hAnsi="Times New Roman" w:cs="Times New Roman"/>
          <w:b/>
          <w:bCs/>
          <w:szCs w:val="21"/>
        </w:rPr>
        <w:t xml:space="preserve">3  </w:t>
      </w:r>
      <w:r>
        <w:rPr>
          <w:rFonts w:ascii="Times New Roman" w:cs="Times New Roman" w:hAnsiTheme="minorEastAsia"/>
          <w:b/>
          <w:bCs/>
          <w:szCs w:val="21"/>
        </w:rPr>
        <w:t>教育教学研究成果获奖的奖励内容与标准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784" w:tblpY="1"/>
        <w:tblOverlap w:val="never"/>
        <w:tblW w:w="83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2955"/>
        <w:gridCol w:w="2430"/>
        <w:gridCol w:w="20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参照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</w:t>
            </w:r>
            <w:r>
              <w:rPr>
                <w:rFonts w:ascii="Times New Roman" w:cs="Times New Roman" w:hAnsiTheme="minorEastAsia"/>
                <w:b/>
                <w:bCs/>
                <w:szCs w:val="21"/>
              </w:rPr>
              <w:t>层次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成果类别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成果等级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科研分值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国家级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全国教育科学研究优秀成果奖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600/300/150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省部级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中国高教学会高等教育科学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研究优秀成果奖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200/100/50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省教育科学规划办教育科学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优秀成果奖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100/50/25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省教育厅教育科学研究成果奖（教育研究类）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100/50/25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省教育科学规划办教育科学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规划精品课题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ind w:firstLine="1050" w:firstLineChars="5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市厅级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省高教学会高等教育科学研究成果奖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20/10/5</w:t>
            </w:r>
          </w:p>
        </w:tc>
      </w:tr>
    </w:tbl>
    <w:p>
      <w:pPr>
        <w:autoSpaceDE w:val="0"/>
        <w:autoSpaceDN w:val="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cs="Times New Roman" w:hAnsiTheme="minorEastAsia"/>
          <w:sz w:val="32"/>
          <w:szCs w:val="32"/>
        </w:rPr>
        <w:t>公开出版、发表的教育教学研究类论文、专著、编译著等其它成果的奖励，纳入科研工作量计算体系，按科研成果奖励办法执行。</w:t>
      </w:r>
    </w:p>
    <w:p>
      <w:pPr>
        <w:spacing w:line="360" w:lineRule="auto"/>
        <w:ind w:firstLine="48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bCs/>
          <w:sz w:val="32"/>
          <w:szCs w:val="32"/>
        </w:rPr>
        <w:t>第六条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cs="Times New Roman" w:hAnsiTheme="minorEastAsia"/>
          <w:sz w:val="32"/>
          <w:szCs w:val="32"/>
        </w:rPr>
        <w:t>成果奖励的</w:t>
      </w:r>
      <w:r>
        <w:rPr>
          <w:rFonts w:ascii="Times New Roman" w:cs="Times New Roman" w:hAnsiTheme="minorEastAsia"/>
          <w:sz w:val="32"/>
          <w:szCs w:val="32"/>
          <w:lang w:val="zh-CN"/>
        </w:rPr>
        <w:t>经费来源及管理细则</w:t>
      </w:r>
    </w:p>
    <w:p>
      <w:pPr>
        <w:spacing w:line="360" w:lineRule="auto"/>
        <w:ind w:firstLine="48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sz w:val="32"/>
          <w:szCs w:val="32"/>
        </w:rPr>
        <w:t>教育教学研究成果奖励所需经费在学校科研预算中列支。成果奖励的管理细则参照《徐州工程学院科研成果计算与奖励办法》（徐工院科发</w:t>
      </w:r>
      <w:r>
        <w:rPr>
          <w:rFonts w:ascii="Times New Roman" w:hAnsi="Times New Roman" w:cs="Times New Roman"/>
          <w:sz w:val="32"/>
          <w:szCs w:val="32"/>
        </w:rPr>
        <w:t>[2018]1</w:t>
      </w:r>
      <w:r>
        <w:rPr>
          <w:rFonts w:ascii="Times New Roman" w:cs="Times New Roman" w:hAnsiTheme="minorEastAsia"/>
          <w:sz w:val="32"/>
          <w:szCs w:val="32"/>
        </w:rPr>
        <w:t>号）文件执行。</w:t>
      </w:r>
    </w:p>
    <w:p>
      <w:pPr>
        <w:autoSpaceDE w:val="0"/>
        <w:autoSpaceDN w:val="0"/>
        <w:spacing w:beforeLines="50" w:afterLines="50"/>
        <w:jc w:val="center"/>
        <w:rPr>
          <w:rFonts w:ascii="Times New Roman" w:hAnsi="Times New Roman" w:cs="Times New Roman"/>
          <w:b/>
          <w:sz w:val="32"/>
          <w:szCs w:val="32"/>
          <w:lang w:val="zh-CN"/>
        </w:rPr>
      </w:pPr>
      <w:r>
        <w:rPr>
          <w:rFonts w:ascii="Times New Roman" w:cs="Times New Roman" w:hAnsiTheme="minorEastAsia"/>
          <w:b/>
          <w:sz w:val="32"/>
          <w:szCs w:val="32"/>
          <w:lang w:val="zh-CN"/>
        </w:rPr>
        <w:t>四、附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cs="Times New Roman" w:hAnsiTheme="minorEastAsia"/>
          <w:b/>
          <w:sz w:val="32"/>
          <w:szCs w:val="32"/>
          <w:lang w:val="zh-CN"/>
        </w:rPr>
        <w:t>则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 w:val="32"/>
          <w:szCs w:val="32"/>
          <w:lang w:val="zh-CN"/>
        </w:rPr>
        <w:t>本办法由高教研究与评估中心负责解释，自发布之日</w:t>
      </w:r>
      <w:r>
        <w:rPr>
          <w:rFonts w:ascii="Times New Roman" w:cs="Times New Roman" w:hAnsiTheme="minorEastAsia"/>
          <w:sz w:val="32"/>
          <w:szCs w:val="32"/>
        </w:rPr>
        <w:t>起实施。</w:t>
      </w:r>
      <w:r>
        <w:rPr>
          <w:rFonts w:ascii="Times New Roman" w:hAnsi="Times New Roman" w:cs="Times New Roman"/>
          <w:szCs w:val="21"/>
        </w:rPr>
        <w:t xml:space="preserve">        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5880" w:leftChars="200" w:hanging="5460" w:hangingChars="2600"/>
        <w:jc w:val="left"/>
        <w:rPr>
          <w:rFonts w:hint="eastAsia" w:ascii="Times New Roman" w:cs="Times New Roman" w:hAnsi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Times New Roman" w:cs="Times New Roman" w:hAnsiTheme="minorEastAsia"/>
          <w:sz w:val="32"/>
          <w:szCs w:val="32"/>
          <w:lang w:val="en-US" w:eastAsia="zh-CN"/>
        </w:rPr>
        <w:t xml:space="preserve"> 徐州工程学院</w:t>
      </w:r>
      <w:bookmarkStart w:id="0" w:name="_GoBack"/>
      <w:bookmarkEnd w:id="0"/>
      <w:r>
        <w:rPr>
          <w:rFonts w:hint="eastAsia" w:ascii="Times New Roman" w:cs="Times New Roman" w:hAnsiTheme="minorEastAsia"/>
          <w:sz w:val="32"/>
          <w:szCs w:val="32"/>
          <w:lang w:val="en-US" w:eastAsia="zh-CN"/>
        </w:rPr>
        <w:t>2019年3月14日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Cs w:val="21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18900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36272"/>
    <w:multiLevelType w:val="singleLevel"/>
    <w:tmpl w:val="C5D362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3925BC"/>
    <w:rsid w:val="0003530A"/>
    <w:rsid w:val="000373B4"/>
    <w:rsid w:val="0004683F"/>
    <w:rsid w:val="000745C1"/>
    <w:rsid w:val="000F41AE"/>
    <w:rsid w:val="00124380"/>
    <w:rsid w:val="001E6656"/>
    <w:rsid w:val="00265B22"/>
    <w:rsid w:val="002B3643"/>
    <w:rsid w:val="0043303A"/>
    <w:rsid w:val="00475A56"/>
    <w:rsid w:val="0048766A"/>
    <w:rsid w:val="005376F7"/>
    <w:rsid w:val="0068374A"/>
    <w:rsid w:val="006F06A3"/>
    <w:rsid w:val="006F115C"/>
    <w:rsid w:val="007165CC"/>
    <w:rsid w:val="007A060B"/>
    <w:rsid w:val="007C0F68"/>
    <w:rsid w:val="008271C9"/>
    <w:rsid w:val="00AD10B5"/>
    <w:rsid w:val="00B238D3"/>
    <w:rsid w:val="00B50491"/>
    <w:rsid w:val="00CE12C2"/>
    <w:rsid w:val="00CF552B"/>
    <w:rsid w:val="00E2451C"/>
    <w:rsid w:val="00EB0ECA"/>
    <w:rsid w:val="00F91CE1"/>
    <w:rsid w:val="00FD76C9"/>
    <w:rsid w:val="01793F88"/>
    <w:rsid w:val="02BE626C"/>
    <w:rsid w:val="03C76F74"/>
    <w:rsid w:val="0935467A"/>
    <w:rsid w:val="0A3925BC"/>
    <w:rsid w:val="0A784F9A"/>
    <w:rsid w:val="0C8E26E3"/>
    <w:rsid w:val="0D6720E3"/>
    <w:rsid w:val="0E8976C4"/>
    <w:rsid w:val="0EBF7A49"/>
    <w:rsid w:val="0FEF0660"/>
    <w:rsid w:val="0FF55A43"/>
    <w:rsid w:val="128D0002"/>
    <w:rsid w:val="12EB502D"/>
    <w:rsid w:val="138D75E7"/>
    <w:rsid w:val="15DF2914"/>
    <w:rsid w:val="17FB2580"/>
    <w:rsid w:val="18CC645D"/>
    <w:rsid w:val="18F80974"/>
    <w:rsid w:val="1AE916C3"/>
    <w:rsid w:val="1B0059D7"/>
    <w:rsid w:val="214A4EFE"/>
    <w:rsid w:val="21F8105B"/>
    <w:rsid w:val="22C23796"/>
    <w:rsid w:val="22F2750B"/>
    <w:rsid w:val="23AE7B9E"/>
    <w:rsid w:val="26A1061E"/>
    <w:rsid w:val="2740157C"/>
    <w:rsid w:val="27E80A9F"/>
    <w:rsid w:val="28267D97"/>
    <w:rsid w:val="28D479E6"/>
    <w:rsid w:val="2A155205"/>
    <w:rsid w:val="2A8824D1"/>
    <w:rsid w:val="2B566335"/>
    <w:rsid w:val="2CA339E5"/>
    <w:rsid w:val="2D3876EC"/>
    <w:rsid w:val="2DBF6B3C"/>
    <w:rsid w:val="302617A6"/>
    <w:rsid w:val="312778C1"/>
    <w:rsid w:val="314779EF"/>
    <w:rsid w:val="316D2D1C"/>
    <w:rsid w:val="33126AD5"/>
    <w:rsid w:val="33C17EA0"/>
    <w:rsid w:val="34A51A3E"/>
    <w:rsid w:val="34BC49FA"/>
    <w:rsid w:val="34BC590C"/>
    <w:rsid w:val="34C45258"/>
    <w:rsid w:val="36B933BC"/>
    <w:rsid w:val="382D1A0B"/>
    <w:rsid w:val="38A65C4E"/>
    <w:rsid w:val="39775850"/>
    <w:rsid w:val="397D1B7A"/>
    <w:rsid w:val="3A422180"/>
    <w:rsid w:val="3B441D9F"/>
    <w:rsid w:val="3D1B3BC1"/>
    <w:rsid w:val="3E1E7604"/>
    <w:rsid w:val="41C776E7"/>
    <w:rsid w:val="41CE34A0"/>
    <w:rsid w:val="42FB2763"/>
    <w:rsid w:val="46E6767A"/>
    <w:rsid w:val="46EE7D0E"/>
    <w:rsid w:val="47BD75AF"/>
    <w:rsid w:val="4AAA5713"/>
    <w:rsid w:val="4BA1559E"/>
    <w:rsid w:val="4C6E7501"/>
    <w:rsid w:val="4D3C0C17"/>
    <w:rsid w:val="508F284A"/>
    <w:rsid w:val="513E5CEB"/>
    <w:rsid w:val="54183F75"/>
    <w:rsid w:val="57C645D6"/>
    <w:rsid w:val="580C6B67"/>
    <w:rsid w:val="5AA34C17"/>
    <w:rsid w:val="5AFA2488"/>
    <w:rsid w:val="5E932C19"/>
    <w:rsid w:val="5FE43E6D"/>
    <w:rsid w:val="62185342"/>
    <w:rsid w:val="65BB3411"/>
    <w:rsid w:val="6907293C"/>
    <w:rsid w:val="698E1A0D"/>
    <w:rsid w:val="6CC83BDE"/>
    <w:rsid w:val="6E4D626E"/>
    <w:rsid w:val="72306BF1"/>
    <w:rsid w:val="744777FA"/>
    <w:rsid w:val="746F4A2E"/>
    <w:rsid w:val="751A7C1B"/>
    <w:rsid w:val="75EC1E5F"/>
    <w:rsid w:val="777D60EA"/>
    <w:rsid w:val="77A579AC"/>
    <w:rsid w:val="785A48F3"/>
    <w:rsid w:val="790A56F2"/>
    <w:rsid w:val="7AB76DAC"/>
    <w:rsid w:val="7ABF68CA"/>
    <w:rsid w:val="7CAB27FC"/>
    <w:rsid w:val="7FA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1765</Words>
  <Characters>586</Characters>
  <Lines>4</Lines>
  <Paragraphs>4</Paragraphs>
  <TotalTime>18</TotalTime>
  <ScaleCrop>false</ScaleCrop>
  <LinksUpToDate>false</LinksUpToDate>
  <CharactersWithSpaces>2347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2019-03-12T07:25:00Z</dcterms:created>
  <dc:creator>Administrator</dc:creator>
  <cp:lastModifiedBy>510</cp:lastModifiedBy>
  <cp:lastPrinted>2019-03-12T01:54:00Z</cp:lastPrinted>
  <dcterms:modified xsi:type="dcterms:W3CDTF">2019-06-03T03:25:24Z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