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093" w:rsidRDefault="008B0093" w:rsidP="008F41ED">
      <w:pPr>
        <w:tabs>
          <w:tab w:val="left" w:pos="3570"/>
        </w:tabs>
        <w:spacing w:line="700" w:lineRule="exact"/>
        <w:rPr>
          <w:rFonts w:ascii="仿宋_GB2312" w:eastAsia="仿宋_GB2312"/>
          <w:sz w:val="32"/>
          <w:szCs w:val="32"/>
        </w:rPr>
      </w:pPr>
    </w:p>
    <w:p w:rsidR="008B0093" w:rsidRDefault="00544E32" w:rsidP="008F41ED">
      <w:pPr>
        <w:tabs>
          <w:tab w:val="left" w:pos="3570"/>
        </w:tabs>
        <w:spacing w:line="700" w:lineRule="exact"/>
        <w:rPr>
          <w:rFonts w:ascii="仿宋_GB2312" w:eastAsia="仿宋_GB2312"/>
          <w:sz w:val="32"/>
          <w:szCs w:val="32"/>
        </w:rPr>
      </w:pPr>
      <w:r>
        <w:rPr>
          <w:rFonts w:ascii="仿宋_GB2312" w:eastAsia="仿宋_GB2312"/>
          <w:sz w:val="32"/>
          <w:szCs w:val="32"/>
        </w:rPr>
        <w:tab/>
      </w:r>
    </w:p>
    <w:p w:rsidR="008B0093" w:rsidRDefault="008B0093" w:rsidP="008F41ED">
      <w:pPr>
        <w:tabs>
          <w:tab w:val="left" w:pos="3570"/>
        </w:tabs>
        <w:spacing w:line="700" w:lineRule="exact"/>
        <w:rPr>
          <w:rFonts w:ascii="仿宋_GB2312" w:eastAsia="仿宋_GB2312"/>
          <w:sz w:val="32"/>
          <w:szCs w:val="32"/>
        </w:rPr>
      </w:pPr>
    </w:p>
    <w:p w:rsidR="008B0093" w:rsidRDefault="008B0093" w:rsidP="008F41ED">
      <w:pPr>
        <w:spacing w:line="700" w:lineRule="exact"/>
        <w:rPr>
          <w:rFonts w:ascii="仿宋_GB2312" w:eastAsia="仿宋_GB2312"/>
          <w:sz w:val="32"/>
          <w:szCs w:val="32"/>
        </w:rPr>
      </w:pPr>
    </w:p>
    <w:p w:rsidR="008B0093" w:rsidRDefault="008B0093" w:rsidP="008F41ED">
      <w:pPr>
        <w:spacing w:line="700" w:lineRule="exact"/>
        <w:rPr>
          <w:rFonts w:ascii="仿宋_GB2312" w:eastAsia="仿宋_GB2312"/>
          <w:sz w:val="32"/>
          <w:szCs w:val="32"/>
        </w:rPr>
      </w:pPr>
    </w:p>
    <w:p w:rsidR="008B0093" w:rsidRDefault="008B0093" w:rsidP="008F41ED">
      <w:pPr>
        <w:spacing w:line="700" w:lineRule="exact"/>
        <w:rPr>
          <w:rFonts w:ascii="仿宋_GB2312" w:eastAsia="仿宋_GB2312"/>
          <w:sz w:val="32"/>
          <w:szCs w:val="32"/>
        </w:rPr>
      </w:pPr>
    </w:p>
    <w:p w:rsidR="008F41ED" w:rsidRDefault="008F41ED" w:rsidP="008F41ED">
      <w:pPr>
        <w:spacing w:line="700" w:lineRule="exact"/>
        <w:rPr>
          <w:rFonts w:ascii="仿宋_GB2312" w:eastAsia="仿宋_GB2312"/>
          <w:sz w:val="32"/>
          <w:szCs w:val="32"/>
        </w:rPr>
      </w:pPr>
    </w:p>
    <w:p w:rsidR="00BC620C" w:rsidRPr="00637615" w:rsidRDefault="006E71F7" w:rsidP="002C6018">
      <w:pPr>
        <w:jc w:val="center"/>
        <w:rPr>
          <w:rFonts w:ascii="仿宋_GB2312" w:eastAsia="仿宋_GB2312" w:hAnsi="华文仿宋" w:hint="eastAsia"/>
          <w:sz w:val="32"/>
          <w:szCs w:val="32"/>
        </w:rPr>
      </w:pPr>
      <w:bookmarkStart w:id="0" w:name="doc_mark"/>
      <w:r w:rsidRPr="00637615">
        <w:rPr>
          <w:rFonts w:ascii="仿宋_GB2312" w:eastAsia="仿宋_GB2312" w:hAnsi="华文仿宋" w:hint="eastAsia"/>
          <w:sz w:val="32"/>
          <w:szCs w:val="32"/>
        </w:rPr>
        <w:t>徐工院</w:t>
      </w:r>
      <w:proofErr w:type="gramStart"/>
      <w:r w:rsidR="00551384">
        <w:rPr>
          <w:rFonts w:asciiTheme="minorHAnsi" w:eastAsia="仿宋_GB2312" w:hAnsiTheme="minorHAnsi" w:hint="eastAsia"/>
          <w:sz w:val="32"/>
          <w:szCs w:val="32"/>
        </w:rPr>
        <w:t>国资</w:t>
      </w:r>
      <w:r w:rsidR="00544E32" w:rsidRPr="00637615">
        <w:rPr>
          <w:rFonts w:ascii="仿宋_GB2312" w:eastAsia="仿宋_GB2312" w:hAnsi="华文仿宋" w:hint="eastAsia"/>
          <w:sz w:val="32"/>
          <w:szCs w:val="32"/>
        </w:rPr>
        <w:t>发〔</w:t>
      </w:r>
      <w:r w:rsidR="00932F75">
        <w:rPr>
          <w:rFonts w:ascii="仿宋_GB2312" w:eastAsia="仿宋_GB2312" w:hAnsi="华文仿宋" w:hint="eastAsia"/>
          <w:sz w:val="32"/>
          <w:szCs w:val="32"/>
        </w:rPr>
        <w:t>2021</w:t>
      </w:r>
      <w:r w:rsidR="00544E32" w:rsidRPr="00637615">
        <w:rPr>
          <w:rFonts w:ascii="仿宋_GB2312" w:eastAsia="仿宋_GB2312" w:hAnsi="华文仿宋" w:hint="eastAsia"/>
          <w:sz w:val="32"/>
          <w:szCs w:val="32"/>
        </w:rPr>
        <w:t>〕</w:t>
      </w:r>
      <w:bookmarkEnd w:id="0"/>
      <w:proofErr w:type="gramEnd"/>
      <w:r w:rsidR="00551384">
        <w:rPr>
          <w:rFonts w:ascii="仿宋_GB2312" w:eastAsia="仿宋_GB2312" w:hAnsi="华文仿宋" w:hint="eastAsia"/>
          <w:sz w:val="32"/>
          <w:szCs w:val="32"/>
        </w:rPr>
        <w:t>3</w:t>
      </w:r>
      <w:r w:rsidR="00116DE5" w:rsidRPr="00637615">
        <w:rPr>
          <w:rFonts w:ascii="仿宋_GB2312" w:eastAsia="仿宋_GB2312" w:hAnsi="华文仿宋" w:hint="eastAsia"/>
          <w:sz w:val="32"/>
          <w:szCs w:val="32"/>
        </w:rPr>
        <w:t>号</w:t>
      </w:r>
    </w:p>
    <w:p w:rsidR="00941E27" w:rsidRPr="00941E27" w:rsidRDefault="00941E27" w:rsidP="002C6018">
      <w:pPr>
        <w:jc w:val="center"/>
        <w:rPr>
          <w:rFonts w:ascii="黑体" w:hAnsi="宋体" w:cs="Arial"/>
          <w:bCs/>
          <w:szCs w:val="36"/>
        </w:rPr>
      </w:pPr>
    </w:p>
    <w:p w:rsidR="00551384" w:rsidRDefault="00551384" w:rsidP="00551384">
      <w:pPr>
        <w:jc w:val="center"/>
        <w:rPr>
          <w:rFonts w:ascii="宋体" w:hAnsi="宋体" w:hint="eastAsia"/>
          <w:b/>
          <w:bCs/>
          <w:sz w:val="44"/>
          <w:szCs w:val="44"/>
        </w:rPr>
      </w:pPr>
      <w:bookmarkStart w:id="1" w:name="Content"/>
      <w:bookmarkEnd w:id="1"/>
      <w:r w:rsidRPr="00DD06EF">
        <w:rPr>
          <w:rFonts w:ascii="宋体" w:hAnsi="宋体" w:hint="eastAsia"/>
          <w:b/>
          <w:bCs/>
          <w:sz w:val="44"/>
          <w:szCs w:val="44"/>
        </w:rPr>
        <w:t>徐州工程学院固定资产处置实施细则</w:t>
      </w:r>
    </w:p>
    <w:p w:rsidR="00551384" w:rsidRPr="00DD06EF" w:rsidRDefault="00551384" w:rsidP="00551384">
      <w:pPr>
        <w:jc w:val="center"/>
        <w:rPr>
          <w:rFonts w:ascii="宋体" w:hAnsi="宋体"/>
          <w:b/>
          <w:bCs/>
          <w:sz w:val="44"/>
          <w:szCs w:val="44"/>
        </w:rPr>
      </w:pPr>
    </w:p>
    <w:p w:rsidR="00551384" w:rsidRPr="00DD06EF" w:rsidRDefault="00551384" w:rsidP="00551384">
      <w:pPr>
        <w:spacing w:line="600" w:lineRule="exact"/>
        <w:ind w:firstLineChars="200" w:firstLine="643"/>
        <w:rPr>
          <w:rFonts w:ascii="仿宋_GB2312" w:eastAsia="仿宋_GB2312" w:hAnsi="仿宋" w:hint="eastAsia"/>
          <w:sz w:val="32"/>
          <w:szCs w:val="32"/>
        </w:rPr>
      </w:pPr>
      <w:r w:rsidRPr="00DD06EF">
        <w:rPr>
          <w:rFonts w:ascii="仿宋_GB2312" w:eastAsia="仿宋_GB2312" w:hAnsi="仿宋" w:hint="eastAsia"/>
          <w:b/>
          <w:bCs/>
          <w:sz w:val="32"/>
          <w:szCs w:val="32"/>
        </w:rPr>
        <w:t>第一条</w:t>
      </w:r>
      <w:r w:rsidRPr="00DD06EF">
        <w:rPr>
          <w:rFonts w:ascii="仿宋_GB2312" w:eastAsia="仿宋_GB2312" w:hAnsi="仿宋" w:hint="eastAsia"/>
          <w:sz w:val="32"/>
          <w:szCs w:val="32"/>
        </w:rPr>
        <w:t xml:space="preserve"> 为进一步规范学校固定资产处置行为，防止国有资产流失，根据《徐州市市级行政事业单位国有资产处置工作相关事项调整和规范的通知》(徐财资【2020】8号)及《徐州工程学院国有资产管理暂行办法》，结合学校实际，制订本实施细则。</w:t>
      </w:r>
    </w:p>
    <w:p w:rsidR="00551384" w:rsidRPr="00DD06EF" w:rsidRDefault="00551384" w:rsidP="00551384">
      <w:pPr>
        <w:spacing w:line="600" w:lineRule="exact"/>
        <w:ind w:firstLineChars="200" w:firstLine="643"/>
        <w:rPr>
          <w:rFonts w:ascii="仿宋_GB2312" w:eastAsia="仿宋_GB2312" w:hAnsi="仿宋" w:hint="eastAsia"/>
          <w:bCs/>
          <w:sz w:val="32"/>
          <w:szCs w:val="32"/>
        </w:rPr>
      </w:pPr>
      <w:r w:rsidRPr="00DD06EF">
        <w:rPr>
          <w:rFonts w:ascii="仿宋_GB2312" w:eastAsia="仿宋_GB2312" w:hAnsi="仿宋" w:hint="eastAsia"/>
          <w:b/>
          <w:bCs/>
          <w:sz w:val="32"/>
          <w:szCs w:val="32"/>
        </w:rPr>
        <w:t>第二条</w:t>
      </w:r>
      <w:r w:rsidRPr="00DD06EF">
        <w:rPr>
          <w:rFonts w:ascii="仿宋_GB2312" w:eastAsia="仿宋_GB2312" w:hAnsi="仿宋" w:hint="eastAsia"/>
          <w:sz w:val="32"/>
          <w:szCs w:val="32"/>
        </w:rPr>
        <w:t xml:space="preserve"> 固定资产处置是指学校对占有、使用的固定资产进行产权转让或者注销的行为。</w:t>
      </w:r>
      <w:r w:rsidRPr="00DD06EF">
        <w:rPr>
          <w:rFonts w:ascii="仿宋_GB2312" w:eastAsia="仿宋_GB2312" w:hAnsi="仿宋" w:hint="eastAsia"/>
          <w:bCs/>
          <w:sz w:val="32"/>
          <w:szCs w:val="32"/>
        </w:rPr>
        <w:t>处置方式主要包括报废、报损、出售、置换、对外捐赠等。</w:t>
      </w:r>
    </w:p>
    <w:p w:rsidR="00551384" w:rsidRDefault="00551384" w:rsidP="00551384">
      <w:pPr>
        <w:spacing w:line="600" w:lineRule="exact"/>
        <w:ind w:firstLineChars="150" w:firstLine="480"/>
        <w:rPr>
          <w:rFonts w:ascii="仿宋_GB2312" w:eastAsia="仿宋_GB2312" w:hAnsi="仿宋"/>
          <w:bCs/>
          <w:sz w:val="32"/>
          <w:szCs w:val="32"/>
        </w:rPr>
        <w:sectPr w:rsidR="00551384" w:rsidSect="00551384">
          <w:headerReference w:type="default" r:id="rId8"/>
          <w:pgSz w:w="11906" w:h="16838" w:code="9"/>
          <w:pgMar w:top="1701" w:right="1588" w:bottom="1701" w:left="1588" w:header="851" w:footer="992" w:gutter="0"/>
          <w:cols w:space="425"/>
          <w:docGrid w:type="linesAndChars" w:linePitch="312"/>
        </w:sectPr>
      </w:pPr>
      <w:r w:rsidRPr="00DD06EF">
        <w:rPr>
          <w:rFonts w:ascii="仿宋_GB2312" w:eastAsia="仿宋_GB2312" w:hAnsi="仿宋" w:hint="eastAsia"/>
          <w:bCs/>
          <w:sz w:val="32"/>
          <w:szCs w:val="32"/>
        </w:rPr>
        <w:t>（一）报废，是指经有关部门技术鉴定或按有关规定，对已经不能继续使用的固定资产，进行处理并注销产权的资产处</w:t>
      </w:r>
    </w:p>
    <w:p w:rsidR="00551384" w:rsidRPr="00DD06EF" w:rsidRDefault="00551384" w:rsidP="00551384">
      <w:pPr>
        <w:spacing w:line="600" w:lineRule="exact"/>
        <w:rPr>
          <w:rFonts w:ascii="仿宋_GB2312" w:eastAsia="仿宋_GB2312" w:hAnsi="仿宋" w:hint="eastAsia"/>
          <w:bCs/>
          <w:sz w:val="32"/>
          <w:szCs w:val="32"/>
        </w:rPr>
      </w:pPr>
      <w:r w:rsidRPr="00DD06EF">
        <w:rPr>
          <w:rFonts w:ascii="仿宋_GB2312" w:eastAsia="仿宋_GB2312" w:hAnsi="仿宋" w:hint="eastAsia"/>
          <w:bCs/>
          <w:sz w:val="32"/>
          <w:szCs w:val="32"/>
        </w:rPr>
        <w:lastRenderedPageBreak/>
        <w:t xml:space="preserve">置行为；　　　</w:t>
      </w:r>
    </w:p>
    <w:p w:rsidR="00551384" w:rsidRPr="00DD06EF" w:rsidRDefault="00551384" w:rsidP="00551384">
      <w:pPr>
        <w:spacing w:line="600" w:lineRule="exact"/>
        <w:ind w:firstLineChars="150" w:firstLine="480"/>
        <w:rPr>
          <w:rFonts w:ascii="仿宋_GB2312" w:eastAsia="仿宋_GB2312" w:hAnsi="仿宋" w:hint="eastAsia"/>
          <w:bCs/>
          <w:sz w:val="32"/>
          <w:szCs w:val="32"/>
        </w:rPr>
      </w:pPr>
      <w:r w:rsidRPr="00DD06EF">
        <w:rPr>
          <w:rFonts w:ascii="仿宋_GB2312" w:eastAsia="仿宋_GB2312" w:hAnsi="仿宋" w:hint="eastAsia"/>
          <w:bCs/>
          <w:sz w:val="32"/>
          <w:szCs w:val="32"/>
        </w:rPr>
        <w:t>（二）报损，是指已发生的固定资产盘亏、毁损及其他非正常损失，按照有关规定进行产权注销的资产处置行为；</w:t>
      </w:r>
    </w:p>
    <w:p w:rsidR="00551384" w:rsidRPr="00DD06EF" w:rsidRDefault="00551384" w:rsidP="00551384">
      <w:pPr>
        <w:spacing w:line="600" w:lineRule="exact"/>
        <w:ind w:firstLineChars="150" w:firstLine="480"/>
        <w:rPr>
          <w:rFonts w:ascii="仿宋_GB2312" w:eastAsia="仿宋_GB2312" w:hAnsi="仿宋" w:hint="eastAsia"/>
          <w:bCs/>
          <w:sz w:val="32"/>
          <w:szCs w:val="32"/>
        </w:rPr>
      </w:pPr>
      <w:r w:rsidRPr="00DD06EF">
        <w:rPr>
          <w:rFonts w:ascii="仿宋_GB2312" w:eastAsia="仿宋_GB2312" w:hAnsi="仿宋" w:hint="eastAsia"/>
          <w:bCs/>
          <w:sz w:val="32"/>
          <w:szCs w:val="32"/>
        </w:rPr>
        <w:t xml:space="preserve">（三）出售，是指变更固定资产所有权、占用或使用权，并取得处置收益的处置行为；　</w:t>
      </w:r>
    </w:p>
    <w:p w:rsidR="00551384" w:rsidRPr="00DD06EF" w:rsidRDefault="00551384" w:rsidP="00551384">
      <w:pPr>
        <w:spacing w:line="600" w:lineRule="exact"/>
        <w:ind w:firstLineChars="150" w:firstLine="480"/>
        <w:rPr>
          <w:rFonts w:ascii="仿宋_GB2312" w:eastAsia="仿宋_GB2312" w:hAnsi="仿宋" w:hint="eastAsia"/>
          <w:bCs/>
          <w:sz w:val="32"/>
          <w:szCs w:val="32"/>
        </w:rPr>
      </w:pPr>
      <w:r w:rsidRPr="00DD06EF">
        <w:rPr>
          <w:rFonts w:ascii="仿宋_GB2312" w:eastAsia="仿宋_GB2312" w:hAnsi="仿宋" w:hint="eastAsia"/>
          <w:bCs/>
          <w:sz w:val="32"/>
          <w:szCs w:val="32"/>
        </w:rPr>
        <w:t xml:space="preserve">（四）置换，是指以非货币性交易的方式变更固定资产的所有权、占用和使用权的资产处置行为；　　</w:t>
      </w:r>
    </w:p>
    <w:p w:rsidR="00551384" w:rsidRPr="00DD06EF" w:rsidRDefault="00551384" w:rsidP="00551384">
      <w:pPr>
        <w:spacing w:line="600" w:lineRule="exact"/>
        <w:ind w:firstLineChars="150" w:firstLine="480"/>
        <w:rPr>
          <w:rFonts w:ascii="仿宋_GB2312" w:eastAsia="仿宋_GB2312" w:hAnsi="仿宋" w:hint="eastAsia"/>
          <w:bCs/>
          <w:sz w:val="32"/>
          <w:szCs w:val="32"/>
        </w:rPr>
      </w:pPr>
      <w:r w:rsidRPr="00DD06EF">
        <w:rPr>
          <w:rFonts w:ascii="仿宋_GB2312" w:eastAsia="仿宋_GB2312" w:hAnsi="仿宋" w:hint="eastAsia"/>
          <w:bCs/>
          <w:sz w:val="32"/>
          <w:szCs w:val="32"/>
        </w:rPr>
        <w:t>（五）对外捐赠，是指将尚能使用的国有资产，无偿支援社会公益事业以及扶贫、赈灾等的资产处置行为。</w:t>
      </w:r>
    </w:p>
    <w:p w:rsidR="00551384" w:rsidRPr="00DD06EF" w:rsidRDefault="00551384" w:rsidP="00551384">
      <w:pPr>
        <w:spacing w:line="600" w:lineRule="exact"/>
        <w:ind w:firstLineChars="200" w:firstLine="643"/>
        <w:rPr>
          <w:rFonts w:ascii="仿宋_GB2312" w:eastAsia="仿宋_GB2312" w:hAnsi="仿宋" w:hint="eastAsia"/>
          <w:sz w:val="32"/>
          <w:szCs w:val="32"/>
        </w:rPr>
      </w:pPr>
      <w:r w:rsidRPr="00DD06EF">
        <w:rPr>
          <w:rFonts w:ascii="仿宋_GB2312" w:eastAsia="仿宋_GB2312" w:hAnsi="仿宋" w:hint="eastAsia"/>
          <w:b/>
          <w:bCs/>
          <w:sz w:val="32"/>
          <w:szCs w:val="32"/>
        </w:rPr>
        <w:t xml:space="preserve">第三条 </w:t>
      </w:r>
      <w:r w:rsidRPr="00DD06EF">
        <w:rPr>
          <w:rFonts w:ascii="仿宋_GB2312" w:eastAsia="仿宋_GB2312" w:hAnsi="仿宋" w:hint="eastAsia"/>
          <w:sz w:val="32"/>
          <w:szCs w:val="32"/>
        </w:rPr>
        <w:t>处置的固定资产应当权属清晰。权属关系不明确或者存在权属纠纷的固定资产，须待权属界定明确后方可处置。</w:t>
      </w:r>
    </w:p>
    <w:p w:rsidR="00551384" w:rsidRPr="00DD06EF" w:rsidRDefault="00551384" w:rsidP="00551384">
      <w:pPr>
        <w:spacing w:line="600" w:lineRule="exact"/>
        <w:ind w:firstLineChars="200" w:firstLine="643"/>
        <w:rPr>
          <w:rFonts w:ascii="仿宋_GB2312" w:eastAsia="仿宋_GB2312" w:hAnsi="仿宋" w:hint="eastAsia"/>
          <w:sz w:val="32"/>
          <w:szCs w:val="32"/>
        </w:rPr>
      </w:pPr>
      <w:r w:rsidRPr="00DD06EF">
        <w:rPr>
          <w:rFonts w:ascii="仿宋_GB2312" w:eastAsia="仿宋_GB2312" w:hAnsi="仿宋" w:hint="eastAsia"/>
          <w:b/>
          <w:sz w:val="32"/>
          <w:szCs w:val="32"/>
        </w:rPr>
        <w:t xml:space="preserve">第四条 </w:t>
      </w:r>
      <w:r w:rsidRPr="00DD06EF">
        <w:rPr>
          <w:rFonts w:ascii="仿宋_GB2312" w:eastAsia="仿宋_GB2312" w:hAnsi="仿宋" w:hint="eastAsia"/>
          <w:sz w:val="32"/>
          <w:szCs w:val="32"/>
        </w:rPr>
        <w:t>符合以下条件之一的固定资产，可以申请处置：</w:t>
      </w:r>
    </w:p>
    <w:p w:rsidR="00551384" w:rsidRPr="00DD06EF" w:rsidRDefault="00551384" w:rsidP="00551384">
      <w:pPr>
        <w:spacing w:line="600" w:lineRule="exact"/>
        <w:ind w:firstLineChars="150" w:firstLine="480"/>
        <w:rPr>
          <w:rFonts w:ascii="仿宋_GB2312" w:eastAsia="仿宋_GB2312" w:hAnsi="仿宋" w:hint="eastAsia"/>
          <w:sz w:val="32"/>
          <w:szCs w:val="32"/>
        </w:rPr>
      </w:pPr>
      <w:r w:rsidRPr="00DD06EF">
        <w:rPr>
          <w:rFonts w:ascii="仿宋_GB2312" w:eastAsia="仿宋_GB2312" w:hAnsi="仿宋" w:hint="eastAsia"/>
          <w:sz w:val="32"/>
          <w:szCs w:val="32"/>
        </w:rPr>
        <w:t>（一）已达到或者超过最低使用年限且无法满足现有工作需要的固定资产（最低使用年限参照政府会计制度所规定的高等学校固定资产折旧年限执行，见附件）</w:t>
      </w:r>
      <w:r w:rsidRPr="00DD06EF">
        <w:rPr>
          <w:rFonts w:ascii="仿宋_GB2312" w:eastAsia="仿宋_GB2312" w:hAnsi="仿宋" w:hint="eastAsia"/>
          <w:bCs/>
          <w:snapToGrid w:val="0"/>
          <w:sz w:val="32"/>
          <w:szCs w:val="32"/>
        </w:rPr>
        <w:t>;</w:t>
      </w:r>
    </w:p>
    <w:p w:rsidR="00551384" w:rsidRPr="00DD06EF" w:rsidRDefault="00551384" w:rsidP="00551384">
      <w:pPr>
        <w:widowControl/>
        <w:spacing w:line="600" w:lineRule="exact"/>
        <w:ind w:firstLineChars="150" w:firstLine="480"/>
        <w:rPr>
          <w:rFonts w:ascii="仿宋_GB2312" w:eastAsia="仿宋_GB2312" w:hAnsi="仿宋" w:hint="eastAsia"/>
          <w:sz w:val="32"/>
          <w:szCs w:val="32"/>
        </w:rPr>
      </w:pPr>
      <w:r w:rsidRPr="00DD06EF">
        <w:rPr>
          <w:rFonts w:ascii="仿宋_GB2312" w:eastAsia="仿宋_GB2312" w:hAnsi="仿宋" w:hint="eastAsia"/>
          <w:sz w:val="32"/>
          <w:szCs w:val="32"/>
        </w:rPr>
        <w:t>（二）虽未达到最低使用年限，但已无法修复或无修复价值的固定资产；</w:t>
      </w:r>
    </w:p>
    <w:p w:rsidR="00551384" w:rsidRPr="00DD06EF" w:rsidRDefault="00551384" w:rsidP="00551384">
      <w:pPr>
        <w:widowControl/>
        <w:spacing w:line="600" w:lineRule="exact"/>
        <w:ind w:firstLineChars="150" w:firstLine="480"/>
        <w:rPr>
          <w:rFonts w:ascii="仿宋_GB2312" w:eastAsia="仿宋_GB2312" w:hAnsi="仿宋" w:hint="eastAsia"/>
          <w:sz w:val="32"/>
          <w:szCs w:val="32"/>
        </w:rPr>
      </w:pPr>
      <w:r w:rsidRPr="00DD06EF">
        <w:rPr>
          <w:rFonts w:ascii="仿宋_GB2312" w:eastAsia="仿宋_GB2312" w:hAnsi="仿宋" w:hint="eastAsia"/>
          <w:sz w:val="32"/>
          <w:szCs w:val="32"/>
        </w:rPr>
        <w:t>（三）毁坏、丢失或被盗等非</w:t>
      </w:r>
      <w:proofErr w:type="gramStart"/>
      <w:r w:rsidRPr="00DD06EF">
        <w:rPr>
          <w:rFonts w:ascii="仿宋_GB2312" w:eastAsia="仿宋_GB2312" w:hAnsi="仿宋" w:hint="eastAsia"/>
          <w:sz w:val="32"/>
          <w:szCs w:val="32"/>
        </w:rPr>
        <w:t>正常损失</w:t>
      </w:r>
      <w:proofErr w:type="gramEnd"/>
      <w:r w:rsidRPr="00DD06EF">
        <w:rPr>
          <w:rFonts w:ascii="仿宋_GB2312" w:eastAsia="仿宋_GB2312" w:hAnsi="仿宋" w:hint="eastAsia"/>
          <w:sz w:val="32"/>
          <w:szCs w:val="32"/>
        </w:rPr>
        <w:t>的固定资产；</w:t>
      </w:r>
    </w:p>
    <w:p w:rsidR="00551384" w:rsidRPr="00DD06EF" w:rsidRDefault="00551384" w:rsidP="00551384">
      <w:pPr>
        <w:widowControl/>
        <w:spacing w:line="600" w:lineRule="exact"/>
        <w:ind w:firstLineChars="150" w:firstLine="480"/>
        <w:rPr>
          <w:rFonts w:ascii="仿宋_GB2312" w:eastAsia="仿宋_GB2312" w:hAnsi="仿宋" w:hint="eastAsia"/>
          <w:sz w:val="32"/>
          <w:szCs w:val="32"/>
        </w:rPr>
      </w:pPr>
      <w:r w:rsidRPr="00DD06EF">
        <w:rPr>
          <w:rFonts w:ascii="仿宋_GB2312" w:eastAsia="仿宋_GB2312" w:hAnsi="仿宋" w:hint="eastAsia"/>
          <w:sz w:val="32"/>
          <w:szCs w:val="32"/>
        </w:rPr>
        <w:t>（四）按照上级部门有关规定、决议，需要处置的固定资产。</w:t>
      </w:r>
    </w:p>
    <w:p w:rsidR="00551384" w:rsidRPr="00DD06EF" w:rsidRDefault="00551384" w:rsidP="00551384">
      <w:pPr>
        <w:widowControl/>
        <w:spacing w:line="600" w:lineRule="exact"/>
        <w:ind w:firstLineChars="200" w:firstLine="643"/>
        <w:rPr>
          <w:rFonts w:ascii="仿宋_GB2312" w:eastAsia="仿宋_GB2312" w:hAnsi="仿宋" w:hint="eastAsia"/>
          <w:b/>
          <w:snapToGrid w:val="0"/>
          <w:sz w:val="32"/>
          <w:szCs w:val="32"/>
        </w:rPr>
      </w:pPr>
      <w:r w:rsidRPr="00DD06EF">
        <w:rPr>
          <w:rFonts w:ascii="仿宋_GB2312" w:eastAsia="仿宋_GB2312" w:hAnsi="仿宋" w:hint="eastAsia"/>
          <w:b/>
          <w:snapToGrid w:val="0"/>
          <w:sz w:val="32"/>
          <w:szCs w:val="32"/>
        </w:rPr>
        <w:t>第五条 固定资产处置程序</w:t>
      </w:r>
    </w:p>
    <w:p w:rsidR="00551384" w:rsidRPr="00DD06EF" w:rsidRDefault="00551384" w:rsidP="00551384">
      <w:pPr>
        <w:spacing w:line="600" w:lineRule="exact"/>
        <w:ind w:firstLineChars="206" w:firstLine="662"/>
        <w:rPr>
          <w:rFonts w:ascii="仿宋_GB2312" w:eastAsia="仿宋_GB2312" w:hAnsi="仿宋" w:hint="eastAsia"/>
          <w:b/>
          <w:bCs/>
          <w:sz w:val="32"/>
          <w:szCs w:val="32"/>
        </w:rPr>
      </w:pPr>
      <w:r w:rsidRPr="00DD06EF">
        <w:rPr>
          <w:rFonts w:ascii="仿宋_GB2312" w:eastAsia="仿宋_GB2312" w:hAnsi="仿宋" w:hint="eastAsia"/>
          <w:b/>
          <w:bCs/>
          <w:sz w:val="32"/>
          <w:szCs w:val="32"/>
        </w:rPr>
        <w:t>（一）申报</w:t>
      </w:r>
    </w:p>
    <w:p w:rsidR="00551384" w:rsidRPr="00DD06EF" w:rsidRDefault="00551384" w:rsidP="00551384">
      <w:pPr>
        <w:spacing w:line="600" w:lineRule="exact"/>
        <w:ind w:firstLineChars="206" w:firstLine="659"/>
        <w:rPr>
          <w:rFonts w:ascii="仿宋_GB2312" w:eastAsia="仿宋_GB2312" w:hAnsi="仿宋" w:hint="eastAsia"/>
          <w:sz w:val="32"/>
          <w:szCs w:val="32"/>
        </w:rPr>
      </w:pPr>
      <w:r w:rsidRPr="00DD06EF">
        <w:rPr>
          <w:rFonts w:ascii="仿宋_GB2312" w:eastAsia="仿宋_GB2312" w:hAnsi="仿宋" w:hint="eastAsia"/>
          <w:sz w:val="32"/>
          <w:szCs w:val="32"/>
        </w:rPr>
        <w:t>原则上每年5月和11月为资产集中处置时间。资产使用单</w:t>
      </w:r>
      <w:r w:rsidRPr="00DD06EF">
        <w:rPr>
          <w:rFonts w:ascii="仿宋_GB2312" w:eastAsia="仿宋_GB2312" w:hAnsi="仿宋" w:hint="eastAsia"/>
          <w:sz w:val="32"/>
          <w:szCs w:val="32"/>
        </w:rPr>
        <w:lastRenderedPageBreak/>
        <w:t>位通过资产管理信息系统向资产归口管理部门提交处置申请，并提供以下材料：</w:t>
      </w:r>
    </w:p>
    <w:p w:rsidR="00551384" w:rsidRPr="00DD06EF" w:rsidRDefault="00551384" w:rsidP="00551384">
      <w:pPr>
        <w:spacing w:line="600" w:lineRule="exact"/>
        <w:ind w:firstLineChars="206" w:firstLine="659"/>
        <w:rPr>
          <w:rFonts w:ascii="仿宋_GB2312" w:eastAsia="仿宋_GB2312" w:hAnsi="仿宋" w:hint="eastAsia"/>
          <w:sz w:val="32"/>
          <w:szCs w:val="32"/>
        </w:rPr>
      </w:pPr>
      <w:r w:rsidRPr="00DD06EF">
        <w:rPr>
          <w:rFonts w:ascii="仿宋_GB2312" w:eastAsia="仿宋_GB2312" w:hAnsi="仿宋" w:hint="eastAsia"/>
          <w:sz w:val="32"/>
          <w:szCs w:val="32"/>
        </w:rPr>
        <w:t>1.固定资产处置事项申请书；</w:t>
      </w:r>
    </w:p>
    <w:p w:rsidR="00551384" w:rsidRPr="00DD06EF" w:rsidRDefault="00551384" w:rsidP="00551384">
      <w:pPr>
        <w:spacing w:line="600" w:lineRule="exact"/>
        <w:ind w:firstLineChars="206" w:firstLine="659"/>
        <w:rPr>
          <w:rFonts w:ascii="仿宋_GB2312" w:eastAsia="仿宋_GB2312" w:hAnsi="仿宋" w:hint="eastAsia"/>
          <w:sz w:val="32"/>
          <w:szCs w:val="32"/>
        </w:rPr>
      </w:pPr>
      <w:r w:rsidRPr="00DD06EF">
        <w:rPr>
          <w:rFonts w:ascii="仿宋_GB2312" w:eastAsia="仿宋_GB2312" w:hAnsi="仿宋" w:hint="eastAsia"/>
          <w:sz w:val="32"/>
          <w:szCs w:val="32"/>
        </w:rPr>
        <w:t>2.拟处置固定资产清单；</w:t>
      </w:r>
    </w:p>
    <w:p w:rsidR="00551384" w:rsidRPr="00DD06EF" w:rsidRDefault="00551384" w:rsidP="00551384">
      <w:pPr>
        <w:spacing w:line="600" w:lineRule="exact"/>
        <w:ind w:firstLineChars="206" w:firstLine="659"/>
        <w:rPr>
          <w:rFonts w:ascii="仿宋_GB2312" w:eastAsia="仿宋_GB2312" w:hAnsi="仿宋" w:hint="eastAsia"/>
          <w:sz w:val="32"/>
          <w:szCs w:val="32"/>
        </w:rPr>
      </w:pPr>
      <w:r w:rsidRPr="00DD06EF">
        <w:rPr>
          <w:rFonts w:ascii="仿宋_GB2312" w:eastAsia="仿宋_GB2312" w:hAnsi="仿宋" w:hint="eastAsia"/>
          <w:sz w:val="32"/>
          <w:szCs w:val="32"/>
        </w:rPr>
        <w:t>3.拟报损资产的情况说明，附有关鉴定证明（如学校保卫处或公安机关的案件受理或结案证明、责任认定及赔偿情况说明等）；</w:t>
      </w:r>
    </w:p>
    <w:p w:rsidR="00551384" w:rsidRPr="00DD06EF" w:rsidRDefault="00551384" w:rsidP="00551384">
      <w:pPr>
        <w:spacing w:line="600" w:lineRule="exact"/>
        <w:ind w:firstLineChars="206" w:firstLine="659"/>
        <w:rPr>
          <w:rFonts w:ascii="仿宋_GB2312" w:eastAsia="仿宋_GB2312" w:hAnsi="仿宋" w:hint="eastAsia"/>
          <w:sz w:val="32"/>
          <w:szCs w:val="32"/>
        </w:rPr>
      </w:pPr>
      <w:r w:rsidRPr="00DD06EF">
        <w:rPr>
          <w:rFonts w:ascii="仿宋_GB2312" w:eastAsia="仿宋_GB2312" w:hAnsi="仿宋" w:hint="eastAsia"/>
          <w:sz w:val="32"/>
          <w:szCs w:val="32"/>
        </w:rPr>
        <w:t>4.涉及易燃、易爆、有毒、有腐蚀性、有放射性等具有危险性的或有其他特殊要求的资产处置，需提交特别说明材料；</w:t>
      </w:r>
    </w:p>
    <w:p w:rsidR="00551384" w:rsidRPr="00DD06EF" w:rsidRDefault="00551384" w:rsidP="00551384">
      <w:pPr>
        <w:spacing w:line="600" w:lineRule="exact"/>
        <w:ind w:firstLineChars="206" w:firstLine="659"/>
        <w:rPr>
          <w:rFonts w:ascii="仿宋_GB2312" w:eastAsia="仿宋_GB2312" w:hAnsi="仿宋" w:hint="eastAsia"/>
          <w:sz w:val="32"/>
          <w:szCs w:val="32"/>
        </w:rPr>
      </w:pPr>
      <w:r w:rsidRPr="00DD06EF">
        <w:rPr>
          <w:rFonts w:ascii="仿宋_GB2312" w:eastAsia="仿宋_GB2312" w:hAnsi="仿宋" w:hint="eastAsia"/>
          <w:sz w:val="32"/>
          <w:szCs w:val="32"/>
        </w:rPr>
        <w:t>5.涉及土地、房屋及构筑物的处置，需提交相关批复文件、建设项目拆建立项文件、房屋拆迁补偿协议等证明材料；</w:t>
      </w:r>
    </w:p>
    <w:p w:rsidR="00551384" w:rsidRPr="00DD06EF" w:rsidRDefault="00551384" w:rsidP="00551384">
      <w:pPr>
        <w:spacing w:line="600" w:lineRule="exact"/>
        <w:ind w:firstLineChars="206" w:firstLine="659"/>
        <w:rPr>
          <w:rFonts w:ascii="仿宋_GB2312" w:eastAsia="仿宋_GB2312" w:hAnsi="仿宋" w:hint="eastAsia"/>
          <w:sz w:val="32"/>
          <w:szCs w:val="32"/>
        </w:rPr>
      </w:pPr>
      <w:r w:rsidRPr="00DD06EF">
        <w:rPr>
          <w:rFonts w:ascii="仿宋_GB2312" w:eastAsia="仿宋_GB2312" w:hAnsi="仿宋" w:hint="eastAsia"/>
          <w:sz w:val="32"/>
          <w:szCs w:val="32"/>
        </w:rPr>
        <w:t>6.涉及机动车辆的处置，需提供车辆行驶证或登记证复印件；</w:t>
      </w:r>
    </w:p>
    <w:p w:rsidR="00551384" w:rsidRPr="00DD06EF" w:rsidRDefault="00551384" w:rsidP="00551384">
      <w:pPr>
        <w:spacing w:line="600" w:lineRule="exact"/>
        <w:ind w:firstLineChars="206" w:firstLine="659"/>
        <w:rPr>
          <w:rFonts w:ascii="仿宋_GB2312" w:eastAsia="仿宋_GB2312" w:hAnsi="仿宋" w:hint="eastAsia"/>
          <w:sz w:val="32"/>
          <w:szCs w:val="32"/>
        </w:rPr>
      </w:pPr>
      <w:r w:rsidRPr="00DD06EF">
        <w:rPr>
          <w:rFonts w:ascii="仿宋_GB2312" w:eastAsia="仿宋_GB2312" w:hAnsi="仿宋" w:hint="eastAsia"/>
          <w:sz w:val="32"/>
          <w:szCs w:val="32"/>
        </w:rPr>
        <w:t>7.其他有关材料。</w:t>
      </w:r>
    </w:p>
    <w:p w:rsidR="00551384" w:rsidRPr="00DD06EF" w:rsidRDefault="00551384" w:rsidP="00551384">
      <w:pPr>
        <w:spacing w:line="600" w:lineRule="exact"/>
        <w:rPr>
          <w:rFonts w:ascii="仿宋_GB2312" w:eastAsia="仿宋_GB2312" w:hAnsi="仿宋" w:hint="eastAsia"/>
          <w:sz w:val="32"/>
          <w:szCs w:val="32"/>
        </w:rPr>
      </w:pPr>
      <w:r w:rsidRPr="00DD06EF">
        <w:rPr>
          <w:rFonts w:ascii="仿宋_GB2312" w:eastAsia="仿宋_GB2312" w:hAnsi="仿宋" w:hint="eastAsia"/>
          <w:sz w:val="32"/>
          <w:szCs w:val="32"/>
        </w:rPr>
        <w:t xml:space="preserve">   </w:t>
      </w:r>
      <w:r w:rsidRPr="00DD06EF">
        <w:rPr>
          <w:rFonts w:ascii="仿宋_GB2312" w:eastAsia="仿宋_GB2312" w:hAnsi="仿宋" w:hint="eastAsia"/>
          <w:b/>
          <w:bCs/>
          <w:sz w:val="32"/>
          <w:szCs w:val="32"/>
        </w:rPr>
        <w:t>（二）审核</w:t>
      </w:r>
    </w:p>
    <w:p w:rsidR="00551384" w:rsidRPr="00DD06EF" w:rsidRDefault="00551384" w:rsidP="00551384">
      <w:pPr>
        <w:spacing w:line="600" w:lineRule="exact"/>
        <w:ind w:firstLineChars="200" w:firstLine="640"/>
        <w:rPr>
          <w:rFonts w:ascii="仿宋_GB2312" w:eastAsia="仿宋_GB2312" w:hAnsi="仿宋" w:hint="eastAsia"/>
          <w:sz w:val="32"/>
          <w:szCs w:val="32"/>
        </w:rPr>
      </w:pPr>
      <w:r w:rsidRPr="00DD06EF">
        <w:rPr>
          <w:rFonts w:ascii="仿宋_GB2312" w:eastAsia="仿宋_GB2312" w:hAnsi="仿宋" w:hint="eastAsia"/>
          <w:sz w:val="32"/>
          <w:szCs w:val="32"/>
        </w:rPr>
        <w:t>1.资产归口管理部门依据申报材料进行初审，对申请材料的真实性、完整性、规范性进行审核，初审通过后，回收实物，并填写《徐州工程学院固定资产处置初审表》，连同申报材料报国有资产管理处（以下简称国资处）；</w:t>
      </w:r>
    </w:p>
    <w:p w:rsidR="00551384" w:rsidRPr="00DD06EF" w:rsidRDefault="00551384" w:rsidP="00551384">
      <w:pPr>
        <w:spacing w:line="600" w:lineRule="exact"/>
        <w:ind w:firstLineChars="200" w:firstLine="640"/>
        <w:rPr>
          <w:rFonts w:ascii="仿宋_GB2312" w:eastAsia="仿宋_GB2312" w:hAnsi="仿宋" w:hint="eastAsia"/>
          <w:sz w:val="32"/>
          <w:szCs w:val="32"/>
        </w:rPr>
      </w:pPr>
      <w:r w:rsidRPr="00DD06EF">
        <w:rPr>
          <w:rFonts w:ascii="仿宋_GB2312" w:eastAsia="仿宋_GB2312" w:hAnsi="仿宋" w:hint="eastAsia"/>
          <w:sz w:val="32"/>
          <w:szCs w:val="32"/>
        </w:rPr>
        <w:t>2.国资处汇总拟处置资产材料，对所报的资产处置事项进行查验核实，对未达到最低使用年限和单项资产账面原值在20万元（含）以上的拟报废资产进行复审。</w:t>
      </w:r>
    </w:p>
    <w:p w:rsidR="00551384" w:rsidRPr="00DD06EF" w:rsidRDefault="00551384" w:rsidP="00551384">
      <w:pPr>
        <w:spacing w:line="600" w:lineRule="exact"/>
        <w:ind w:firstLineChars="200" w:firstLine="643"/>
        <w:rPr>
          <w:rFonts w:ascii="仿宋_GB2312" w:eastAsia="仿宋_GB2312" w:hAnsi="仿宋" w:hint="eastAsia"/>
          <w:b/>
          <w:bCs/>
          <w:sz w:val="32"/>
          <w:szCs w:val="32"/>
        </w:rPr>
      </w:pPr>
      <w:r w:rsidRPr="00DD06EF">
        <w:rPr>
          <w:rFonts w:ascii="仿宋_GB2312" w:eastAsia="仿宋_GB2312" w:hAnsi="仿宋" w:hint="eastAsia"/>
          <w:b/>
          <w:bCs/>
          <w:sz w:val="32"/>
          <w:szCs w:val="32"/>
        </w:rPr>
        <w:t>（三）审批和公示</w:t>
      </w:r>
    </w:p>
    <w:p w:rsidR="00551384" w:rsidRPr="00DD06EF" w:rsidRDefault="00551384" w:rsidP="00551384">
      <w:pPr>
        <w:spacing w:line="600" w:lineRule="exact"/>
        <w:ind w:firstLineChars="200" w:firstLine="640"/>
        <w:rPr>
          <w:rFonts w:ascii="仿宋_GB2312" w:eastAsia="仿宋_GB2312" w:hAnsi="仿宋" w:hint="eastAsia"/>
          <w:sz w:val="32"/>
          <w:szCs w:val="32"/>
        </w:rPr>
      </w:pPr>
      <w:r w:rsidRPr="00DD06EF">
        <w:rPr>
          <w:rFonts w:ascii="仿宋_GB2312" w:eastAsia="仿宋_GB2312" w:hAnsi="仿宋" w:hint="eastAsia"/>
          <w:sz w:val="32"/>
          <w:szCs w:val="32"/>
        </w:rPr>
        <w:lastRenderedPageBreak/>
        <w:t>固定资产处置事项由校长办公会议审定；涉及“三重一大”事项报党委常委会审批。</w:t>
      </w:r>
    </w:p>
    <w:p w:rsidR="00551384" w:rsidRPr="00DD06EF" w:rsidRDefault="00551384" w:rsidP="00551384">
      <w:pPr>
        <w:spacing w:line="600" w:lineRule="exact"/>
        <w:ind w:firstLineChars="200" w:firstLine="640"/>
        <w:rPr>
          <w:rFonts w:ascii="仿宋_GB2312" w:eastAsia="仿宋_GB2312" w:hAnsi="仿宋" w:hint="eastAsia"/>
          <w:sz w:val="32"/>
          <w:szCs w:val="32"/>
        </w:rPr>
      </w:pPr>
      <w:r w:rsidRPr="00DD06EF">
        <w:rPr>
          <w:rFonts w:ascii="仿宋_GB2312" w:eastAsia="仿宋_GB2312" w:hAnsi="仿宋" w:hint="eastAsia"/>
          <w:sz w:val="32"/>
          <w:szCs w:val="32"/>
        </w:rPr>
        <w:t>拟处置的固定资产须进行公示，公示期不少于5个工作日。</w:t>
      </w:r>
    </w:p>
    <w:p w:rsidR="00551384" w:rsidRPr="00DD06EF" w:rsidRDefault="00551384" w:rsidP="00551384">
      <w:pPr>
        <w:spacing w:line="600" w:lineRule="exact"/>
        <w:ind w:firstLineChars="200" w:firstLine="640"/>
        <w:rPr>
          <w:rFonts w:ascii="仿宋_GB2312" w:eastAsia="仿宋_GB2312" w:hAnsi="仿宋" w:hint="eastAsia"/>
          <w:sz w:val="32"/>
          <w:szCs w:val="32"/>
        </w:rPr>
      </w:pPr>
      <w:r w:rsidRPr="00DD06EF">
        <w:rPr>
          <w:rFonts w:ascii="仿宋_GB2312" w:eastAsia="仿宋_GB2312" w:hAnsi="仿宋" w:hint="eastAsia"/>
          <w:sz w:val="32"/>
          <w:szCs w:val="32"/>
        </w:rPr>
        <w:t>土地、房屋及构筑物、机动车辆等专项资产的处置事项，报徐州市财政局审批。</w:t>
      </w:r>
    </w:p>
    <w:p w:rsidR="00551384" w:rsidRPr="00DD06EF" w:rsidRDefault="00551384" w:rsidP="00551384">
      <w:pPr>
        <w:spacing w:line="600" w:lineRule="exact"/>
        <w:ind w:firstLineChars="200" w:firstLine="643"/>
        <w:rPr>
          <w:rFonts w:ascii="仿宋_GB2312" w:eastAsia="仿宋_GB2312" w:hAnsi="仿宋" w:hint="eastAsia"/>
          <w:b/>
          <w:bCs/>
          <w:sz w:val="32"/>
          <w:szCs w:val="32"/>
        </w:rPr>
      </w:pPr>
      <w:r w:rsidRPr="00DD06EF">
        <w:rPr>
          <w:rFonts w:ascii="仿宋_GB2312" w:eastAsia="仿宋_GB2312" w:hAnsi="仿宋" w:hint="eastAsia"/>
          <w:b/>
          <w:bCs/>
          <w:sz w:val="32"/>
          <w:szCs w:val="32"/>
        </w:rPr>
        <w:t>（四）处置</w:t>
      </w:r>
    </w:p>
    <w:p w:rsidR="00551384" w:rsidRPr="00DD06EF" w:rsidRDefault="00551384" w:rsidP="00551384">
      <w:pPr>
        <w:spacing w:line="600" w:lineRule="exact"/>
        <w:ind w:firstLineChars="200" w:firstLine="640"/>
        <w:rPr>
          <w:rFonts w:ascii="仿宋_GB2312" w:eastAsia="仿宋_GB2312" w:hAnsi="仿宋" w:hint="eastAsia"/>
          <w:sz w:val="32"/>
          <w:szCs w:val="32"/>
        </w:rPr>
      </w:pPr>
      <w:r w:rsidRPr="00DD06EF">
        <w:rPr>
          <w:rFonts w:ascii="仿宋_GB2312" w:eastAsia="仿宋_GB2312" w:hAnsi="仿宋" w:hint="eastAsia"/>
          <w:sz w:val="32"/>
          <w:szCs w:val="32"/>
        </w:rPr>
        <w:t>国资处依据公开、公正、公平的原则，采取</w:t>
      </w:r>
      <w:r w:rsidRPr="00DD06EF">
        <w:rPr>
          <w:rFonts w:ascii="仿宋_GB2312" w:eastAsia="仿宋_GB2312" w:hAnsi="仿宋" w:hint="eastAsia"/>
          <w:snapToGrid w:val="0"/>
          <w:sz w:val="32"/>
          <w:szCs w:val="32"/>
        </w:rPr>
        <w:t>拍卖、招投标等公开进场方式实施实物处置</w:t>
      </w:r>
      <w:r w:rsidRPr="00DD06EF">
        <w:rPr>
          <w:rFonts w:ascii="仿宋_GB2312" w:eastAsia="仿宋_GB2312" w:hAnsi="仿宋" w:hint="eastAsia"/>
          <w:sz w:val="32"/>
          <w:szCs w:val="32"/>
        </w:rPr>
        <w:t>。</w:t>
      </w:r>
    </w:p>
    <w:p w:rsidR="00551384" w:rsidRPr="00DD06EF" w:rsidRDefault="00551384" w:rsidP="00551384">
      <w:pPr>
        <w:spacing w:line="600" w:lineRule="exact"/>
        <w:ind w:firstLineChars="200" w:firstLine="640"/>
        <w:rPr>
          <w:rFonts w:ascii="仿宋_GB2312" w:eastAsia="仿宋_GB2312" w:hAnsi="仿宋" w:hint="eastAsia"/>
          <w:sz w:val="32"/>
          <w:szCs w:val="32"/>
        </w:rPr>
      </w:pPr>
      <w:r w:rsidRPr="00DD06EF">
        <w:rPr>
          <w:rFonts w:ascii="仿宋_GB2312" w:eastAsia="仿宋_GB2312" w:hAnsi="仿宋" w:hint="eastAsia"/>
          <w:sz w:val="32"/>
          <w:szCs w:val="32"/>
        </w:rPr>
        <w:t>未经学校同意，任何单位和个人不得擅自处置。在资产处置前，资产保管使用单位应保证其安全和完整。</w:t>
      </w:r>
    </w:p>
    <w:p w:rsidR="00551384" w:rsidRPr="00DD06EF" w:rsidRDefault="00551384" w:rsidP="00551384">
      <w:pPr>
        <w:spacing w:line="600" w:lineRule="exact"/>
        <w:ind w:firstLineChars="206" w:firstLine="662"/>
        <w:rPr>
          <w:rFonts w:ascii="仿宋_GB2312" w:eastAsia="仿宋_GB2312" w:hAnsi="仿宋" w:hint="eastAsia"/>
          <w:b/>
          <w:bCs/>
          <w:sz w:val="32"/>
          <w:szCs w:val="32"/>
        </w:rPr>
      </w:pPr>
      <w:r w:rsidRPr="00DD06EF">
        <w:rPr>
          <w:rFonts w:ascii="仿宋_GB2312" w:eastAsia="仿宋_GB2312" w:hAnsi="仿宋" w:hint="eastAsia"/>
          <w:b/>
          <w:bCs/>
          <w:sz w:val="32"/>
          <w:szCs w:val="32"/>
        </w:rPr>
        <w:t>（五）账务处理</w:t>
      </w:r>
    </w:p>
    <w:p w:rsidR="00551384" w:rsidRPr="00DD06EF" w:rsidRDefault="00551384" w:rsidP="00551384">
      <w:pPr>
        <w:spacing w:line="600" w:lineRule="exact"/>
        <w:ind w:firstLineChars="200" w:firstLine="640"/>
        <w:rPr>
          <w:rFonts w:ascii="仿宋_GB2312" w:eastAsia="仿宋_GB2312" w:hAnsi="仿宋" w:hint="eastAsia"/>
          <w:snapToGrid w:val="0"/>
          <w:sz w:val="32"/>
          <w:szCs w:val="32"/>
        </w:rPr>
      </w:pPr>
      <w:r w:rsidRPr="00DD06EF">
        <w:rPr>
          <w:rFonts w:ascii="仿宋_GB2312" w:eastAsia="仿宋_GB2312" w:hAnsi="仿宋" w:hint="eastAsia"/>
          <w:snapToGrid w:val="0"/>
          <w:sz w:val="32"/>
          <w:szCs w:val="32"/>
        </w:rPr>
        <w:t>根据学校或市财政局的批复及相关材料，国资处负责在国有资产管理信息系统中对处置资产进行核销，财务处同步进行账务核销。</w:t>
      </w:r>
    </w:p>
    <w:p w:rsidR="00551384" w:rsidRPr="00DD06EF" w:rsidRDefault="00551384" w:rsidP="00551384">
      <w:pPr>
        <w:spacing w:line="600" w:lineRule="exact"/>
        <w:ind w:firstLineChars="200" w:firstLine="643"/>
        <w:rPr>
          <w:rFonts w:ascii="仿宋_GB2312" w:eastAsia="仿宋_GB2312" w:hAnsi="仿宋" w:hint="eastAsia"/>
          <w:b/>
          <w:snapToGrid w:val="0"/>
          <w:sz w:val="32"/>
          <w:szCs w:val="32"/>
        </w:rPr>
      </w:pPr>
      <w:r w:rsidRPr="00DD06EF">
        <w:rPr>
          <w:rFonts w:ascii="仿宋_GB2312" w:eastAsia="仿宋_GB2312" w:hAnsi="仿宋" w:hint="eastAsia"/>
          <w:b/>
          <w:snapToGrid w:val="0"/>
          <w:sz w:val="32"/>
          <w:szCs w:val="32"/>
        </w:rPr>
        <w:t>（六）备案</w:t>
      </w:r>
    </w:p>
    <w:p w:rsidR="00551384" w:rsidRPr="00DD06EF" w:rsidRDefault="00551384" w:rsidP="00551384">
      <w:pPr>
        <w:spacing w:line="600" w:lineRule="exact"/>
        <w:ind w:firstLineChars="250" w:firstLine="800"/>
        <w:rPr>
          <w:rFonts w:ascii="仿宋_GB2312" w:eastAsia="仿宋_GB2312" w:hAnsi="仿宋" w:hint="eastAsia"/>
          <w:snapToGrid w:val="0"/>
          <w:sz w:val="32"/>
          <w:szCs w:val="32"/>
        </w:rPr>
      </w:pPr>
      <w:r w:rsidRPr="00DD06EF">
        <w:rPr>
          <w:rFonts w:ascii="仿宋_GB2312" w:eastAsia="仿宋_GB2312" w:hAnsi="仿宋" w:hint="eastAsia"/>
          <w:sz w:val="32"/>
          <w:szCs w:val="32"/>
        </w:rPr>
        <w:t>专项资产外的资产处置事项</w:t>
      </w:r>
      <w:r w:rsidRPr="00DD06EF">
        <w:rPr>
          <w:rFonts w:ascii="仿宋_GB2312" w:eastAsia="仿宋_GB2312" w:hAnsi="仿宋" w:hint="eastAsia"/>
          <w:snapToGrid w:val="0"/>
          <w:sz w:val="32"/>
          <w:szCs w:val="32"/>
        </w:rPr>
        <w:t>，须向徐州市财政局备案。</w:t>
      </w:r>
    </w:p>
    <w:p w:rsidR="00551384" w:rsidRPr="00DD06EF" w:rsidRDefault="00551384" w:rsidP="00551384">
      <w:pPr>
        <w:spacing w:line="600" w:lineRule="exact"/>
        <w:ind w:firstLineChars="200" w:firstLine="643"/>
        <w:rPr>
          <w:rFonts w:ascii="仿宋_GB2312" w:eastAsia="仿宋_GB2312" w:hAnsi="仿宋" w:hint="eastAsia"/>
          <w:b/>
          <w:bCs/>
          <w:snapToGrid w:val="0"/>
          <w:sz w:val="32"/>
          <w:szCs w:val="32"/>
        </w:rPr>
      </w:pPr>
      <w:r w:rsidRPr="00DD06EF">
        <w:rPr>
          <w:rFonts w:ascii="仿宋_GB2312" w:eastAsia="仿宋_GB2312" w:hAnsi="仿宋" w:hint="eastAsia"/>
          <w:b/>
          <w:bCs/>
          <w:smallCaps/>
          <w:snapToGrid w:val="0"/>
          <w:sz w:val="32"/>
          <w:szCs w:val="32"/>
        </w:rPr>
        <w:t>第</w:t>
      </w:r>
      <w:r w:rsidRPr="00DD06EF">
        <w:rPr>
          <w:rFonts w:ascii="仿宋_GB2312" w:eastAsia="仿宋_GB2312" w:hAnsi="仿宋" w:hint="eastAsia"/>
          <w:b/>
          <w:bCs/>
          <w:snapToGrid w:val="0"/>
          <w:sz w:val="32"/>
          <w:szCs w:val="32"/>
        </w:rPr>
        <w:t>六</w:t>
      </w:r>
      <w:r w:rsidRPr="00DD06EF">
        <w:rPr>
          <w:rFonts w:ascii="仿宋_GB2312" w:eastAsia="仿宋_GB2312" w:hAnsi="仿宋" w:hint="eastAsia"/>
          <w:b/>
          <w:bCs/>
          <w:smallCaps/>
          <w:snapToGrid w:val="0"/>
          <w:sz w:val="32"/>
          <w:szCs w:val="32"/>
        </w:rPr>
        <w:t xml:space="preserve">条 </w:t>
      </w:r>
      <w:r w:rsidRPr="00DD06EF">
        <w:rPr>
          <w:rFonts w:ascii="仿宋_GB2312" w:eastAsia="仿宋_GB2312" w:hAnsi="仿宋" w:hint="eastAsia"/>
          <w:b/>
          <w:bCs/>
          <w:snapToGrid w:val="0"/>
          <w:sz w:val="32"/>
          <w:szCs w:val="32"/>
        </w:rPr>
        <w:t>拟报废固定资产的技术鉴定</w:t>
      </w:r>
    </w:p>
    <w:p w:rsidR="00551384" w:rsidRPr="00DD06EF" w:rsidRDefault="00551384" w:rsidP="00551384">
      <w:pPr>
        <w:spacing w:line="600" w:lineRule="exact"/>
        <w:ind w:firstLineChars="200" w:firstLine="640"/>
        <w:rPr>
          <w:rFonts w:ascii="仿宋_GB2312" w:eastAsia="仿宋_GB2312" w:hAnsi="仿宋" w:hint="eastAsia"/>
          <w:sz w:val="32"/>
          <w:szCs w:val="32"/>
        </w:rPr>
      </w:pPr>
      <w:r w:rsidRPr="00DD06EF">
        <w:rPr>
          <w:rFonts w:ascii="仿宋_GB2312" w:eastAsia="仿宋_GB2312" w:hAnsi="仿宋" w:hint="eastAsia"/>
          <w:sz w:val="32"/>
          <w:szCs w:val="32"/>
        </w:rPr>
        <w:t>（一）已达到或者超过最低使用年限的且单价原值在20万元以下的资产由资产归口管理部门组织专家组进行</w:t>
      </w:r>
      <w:r w:rsidRPr="00DD06EF">
        <w:rPr>
          <w:rFonts w:ascii="仿宋_GB2312" w:eastAsia="仿宋_GB2312" w:hAnsi="仿宋" w:hint="eastAsia"/>
          <w:snapToGrid w:val="0"/>
          <w:sz w:val="32"/>
          <w:szCs w:val="32"/>
        </w:rPr>
        <w:t>技术</w:t>
      </w:r>
      <w:r w:rsidRPr="00DD06EF">
        <w:rPr>
          <w:rFonts w:ascii="仿宋_GB2312" w:eastAsia="仿宋_GB2312" w:hAnsi="仿宋" w:hint="eastAsia"/>
          <w:sz w:val="32"/>
          <w:szCs w:val="32"/>
        </w:rPr>
        <w:t>鉴定。专家组成员人数不少于3人，其中至少有1位专家具有高级职称。</w:t>
      </w:r>
    </w:p>
    <w:p w:rsidR="00551384" w:rsidRPr="00DD06EF" w:rsidRDefault="00551384" w:rsidP="00551384">
      <w:pPr>
        <w:spacing w:line="600" w:lineRule="exact"/>
        <w:ind w:firstLineChars="200" w:firstLine="640"/>
        <w:rPr>
          <w:rFonts w:ascii="仿宋_GB2312" w:eastAsia="仿宋_GB2312" w:hAnsi="仿宋" w:hint="eastAsia"/>
          <w:sz w:val="32"/>
          <w:szCs w:val="32"/>
        </w:rPr>
      </w:pPr>
      <w:r w:rsidRPr="00DD06EF">
        <w:rPr>
          <w:rFonts w:ascii="仿宋_GB2312" w:eastAsia="仿宋_GB2312" w:hAnsi="仿宋" w:hint="eastAsia"/>
          <w:sz w:val="32"/>
          <w:szCs w:val="32"/>
        </w:rPr>
        <w:t>（二）已达到或者超过最低使用年限且单价原值在20万元（含）以上的资产和未达到最低使用年限的资产，由资产归口管</w:t>
      </w:r>
      <w:r w:rsidRPr="00DD06EF">
        <w:rPr>
          <w:rFonts w:ascii="仿宋_GB2312" w:eastAsia="仿宋_GB2312" w:hAnsi="仿宋" w:hint="eastAsia"/>
          <w:sz w:val="32"/>
          <w:szCs w:val="32"/>
        </w:rPr>
        <w:lastRenderedPageBreak/>
        <w:t>理部门组织专家组进行</w:t>
      </w:r>
      <w:r w:rsidRPr="00DD06EF">
        <w:rPr>
          <w:rFonts w:ascii="仿宋_GB2312" w:eastAsia="仿宋_GB2312" w:hAnsi="仿宋" w:hint="eastAsia"/>
          <w:snapToGrid w:val="0"/>
          <w:sz w:val="32"/>
          <w:szCs w:val="32"/>
        </w:rPr>
        <w:t>技术</w:t>
      </w:r>
      <w:r w:rsidRPr="00DD06EF">
        <w:rPr>
          <w:rFonts w:ascii="仿宋_GB2312" w:eastAsia="仿宋_GB2312" w:hAnsi="仿宋" w:hint="eastAsia"/>
          <w:sz w:val="32"/>
          <w:szCs w:val="32"/>
        </w:rPr>
        <w:t>鉴定。专家组成员人数不少于5人，原则上至少有3位专家具有高级职称，1位校外专家。</w:t>
      </w:r>
    </w:p>
    <w:p w:rsidR="00551384" w:rsidRPr="00DD06EF" w:rsidRDefault="00551384" w:rsidP="00551384">
      <w:pPr>
        <w:spacing w:line="600" w:lineRule="exact"/>
        <w:ind w:firstLineChars="200" w:firstLine="640"/>
        <w:rPr>
          <w:rFonts w:ascii="仿宋_GB2312" w:eastAsia="仿宋_GB2312" w:hAnsi="仿宋" w:hint="eastAsia"/>
          <w:sz w:val="32"/>
          <w:szCs w:val="32"/>
        </w:rPr>
      </w:pPr>
      <w:r w:rsidRPr="00DD06EF">
        <w:rPr>
          <w:rFonts w:ascii="仿宋_GB2312" w:eastAsia="仿宋_GB2312" w:hAnsi="仿宋" w:hint="eastAsia"/>
          <w:sz w:val="32"/>
          <w:szCs w:val="32"/>
        </w:rPr>
        <w:t>（三）房屋及构筑物、机动车辆等专项资产报废，由国资处按上级部门要求组织鉴定。</w:t>
      </w:r>
    </w:p>
    <w:p w:rsidR="00551384" w:rsidRPr="00DD06EF" w:rsidRDefault="00551384" w:rsidP="00551384">
      <w:pPr>
        <w:spacing w:line="600" w:lineRule="exact"/>
        <w:ind w:firstLineChars="200" w:firstLine="640"/>
        <w:rPr>
          <w:rFonts w:ascii="仿宋_GB2312" w:eastAsia="仿宋_GB2312" w:hAnsi="仿宋" w:hint="eastAsia"/>
          <w:snapToGrid w:val="0"/>
          <w:sz w:val="32"/>
          <w:szCs w:val="32"/>
        </w:rPr>
      </w:pPr>
      <w:r w:rsidRPr="00DD06EF">
        <w:rPr>
          <w:rFonts w:ascii="仿宋_GB2312" w:eastAsia="仿宋_GB2312" w:hAnsi="仿宋" w:hint="eastAsia"/>
          <w:sz w:val="32"/>
          <w:szCs w:val="32"/>
        </w:rPr>
        <w:t>技术鉴定</w:t>
      </w:r>
      <w:r w:rsidRPr="00DD06EF">
        <w:rPr>
          <w:rFonts w:ascii="仿宋_GB2312" w:eastAsia="仿宋_GB2312" w:hAnsi="仿宋" w:hint="eastAsia"/>
          <w:snapToGrid w:val="0"/>
          <w:sz w:val="32"/>
          <w:szCs w:val="32"/>
        </w:rPr>
        <w:t>内容包括但不限于：仪器设备的精度、主要技术指标，固定资产损坏程度及有关修复价值等。</w:t>
      </w:r>
    </w:p>
    <w:p w:rsidR="00551384" w:rsidRPr="00DD06EF" w:rsidRDefault="00551384" w:rsidP="00551384">
      <w:pPr>
        <w:spacing w:line="600" w:lineRule="exact"/>
        <w:ind w:firstLineChars="200" w:firstLine="643"/>
        <w:rPr>
          <w:rFonts w:ascii="仿宋_GB2312" w:eastAsia="仿宋_GB2312" w:hAnsi="仿宋" w:hint="eastAsia"/>
          <w:color w:val="00B0F0"/>
          <w:sz w:val="32"/>
          <w:szCs w:val="32"/>
        </w:rPr>
      </w:pPr>
      <w:r w:rsidRPr="00DD06EF">
        <w:rPr>
          <w:rFonts w:ascii="仿宋_GB2312" w:eastAsia="仿宋_GB2312" w:hAnsi="仿宋" w:hint="eastAsia"/>
          <w:b/>
          <w:sz w:val="32"/>
          <w:szCs w:val="32"/>
        </w:rPr>
        <w:t xml:space="preserve">第七条 </w:t>
      </w:r>
      <w:r w:rsidRPr="00DD06EF">
        <w:rPr>
          <w:rFonts w:ascii="仿宋_GB2312" w:eastAsia="仿宋_GB2312" w:hAnsi="仿宋" w:hint="eastAsia"/>
          <w:sz w:val="32"/>
          <w:szCs w:val="32"/>
        </w:rPr>
        <w:t>凡含有涉密载体（如存储</w:t>
      </w:r>
      <w:proofErr w:type="gramStart"/>
      <w:r w:rsidRPr="00DD06EF">
        <w:rPr>
          <w:rFonts w:ascii="仿宋_GB2312" w:eastAsia="仿宋_GB2312" w:hAnsi="仿宋" w:hint="eastAsia"/>
          <w:sz w:val="32"/>
          <w:szCs w:val="32"/>
        </w:rPr>
        <w:t>过涉密文件资料</w:t>
      </w:r>
      <w:proofErr w:type="gramEnd"/>
      <w:r w:rsidRPr="00DD06EF">
        <w:rPr>
          <w:rFonts w:ascii="仿宋_GB2312" w:eastAsia="仿宋_GB2312" w:hAnsi="仿宋" w:hint="eastAsia"/>
          <w:sz w:val="32"/>
          <w:szCs w:val="32"/>
        </w:rPr>
        <w:t>的硬盘、</w:t>
      </w:r>
      <w:r w:rsidRPr="00DD06EF">
        <w:rPr>
          <w:rFonts w:ascii="仿宋_GB2312" w:eastAsia="仿宋_GB2312" w:hAnsi="仿宋" w:cs="Calibri" w:hint="eastAsia"/>
          <w:sz w:val="32"/>
          <w:szCs w:val="32"/>
        </w:rPr>
        <w:t>U</w:t>
      </w:r>
      <w:r w:rsidRPr="00DD06EF">
        <w:rPr>
          <w:rFonts w:ascii="仿宋_GB2312" w:eastAsia="仿宋_GB2312" w:hAnsi="仿宋" w:hint="eastAsia"/>
          <w:sz w:val="32"/>
          <w:szCs w:val="32"/>
        </w:rPr>
        <w:t>盘等存储介质）的仪器设备应先按照国家和学校保密工作的相关规定进行处理后再向资产归口管理部门提交处置申请。</w:t>
      </w:r>
    </w:p>
    <w:p w:rsidR="00551384" w:rsidRPr="00DD06EF" w:rsidRDefault="00551384" w:rsidP="00551384">
      <w:pPr>
        <w:spacing w:line="600" w:lineRule="exact"/>
        <w:ind w:firstLineChars="200" w:firstLine="643"/>
        <w:rPr>
          <w:rFonts w:ascii="仿宋_GB2312" w:eastAsia="仿宋_GB2312" w:hAnsi="仿宋" w:hint="eastAsia"/>
          <w:sz w:val="32"/>
          <w:szCs w:val="32"/>
        </w:rPr>
      </w:pPr>
      <w:r w:rsidRPr="00DD06EF">
        <w:rPr>
          <w:rFonts w:ascii="仿宋_GB2312" w:eastAsia="仿宋_GB2312" w:hAnsi="仿宋" w:hint="eastAsia"/>
          <w:b/>
          <w:bCs/>
          <w:sz w:val="32"/>
          <w:szCs w:val="32"/>
        </w:rPr>
        <w:t xml:space="preserve">第八条 </w:t>
      </w:r>
      <w:r w:rsidRPr="00DD06EF">
        <w:rPr>
          <w:rFonts w:ascii="仿宋_GB2312" w:eastAsia="仿宋_GB2312" w:hAnsi="仿宋" w:hint="eastAsia"/>
          <w:sz w:val="32"/>
          <w:szCs w:val="32"/>
        </w:rPr>
        <w:t>固定资产的报损经确认为主观原因造成的，当事人应承担相应责任并进行赔偿。对未达到最低使用年限的固定资产按《徐州工程学院固定资产损坏丢失赔偿暂行办法》执行；对已达到或者超过最低使用年限的固定资产，按不低于原值的2%计算赔偿金额。</w:t>
      </w:r>
    </w:p>
    <w:p w:rsidR="00551384" w:rsidRPr="00DD06EF" w:rsidRDefault="00551384" w:rsidP="00551384">
      <w:pPr>
        <w:spacing w:line="600" w:lineRule="exact"/>
        <w:rPr>
          <w:rFonts w:ascii="仿宋_GB2312" w:eastAsia="仿宋_GB2312" w:hAnsi="仿宋" w:hint="eastAsia"/>
          <w:sz w:val="32"/>
          <w:szCs w:val="32"/>
        </w:rPr>
      </w:pPr>
      <w:r w:rsidRPr="00DD06EF">
        <w:rPr>
          <w:rFonts w:ascii="仿宋_GB2312" w:eastAsia="仿宋_GB2312" w:hAnsi="仿宋" w:hint="eastAsia"/>
          <w:sz w:val="32"/>
          <w:szCs w:val="32"/>
        </w:rPr>
        <w:t xml:space="preserve">    由于特殊灾害或不可抗力因素等情形造成固定资产损坏、丢失且能提出可靠证明的，经审批同意后可免予赔偿。</w:t>
      </w:r>
    </w:p>
    <w:p w:rsidR="00551384" w:rsidRPr="00DD06EF" w:rsidRDefault="00551384" w:rsidP="00551384">
      <w:pPr>
        <w:spacing w:line="600" w:lineRule="exact"/>
        <w:ind w:firstLineChars="200" w:firstLine="643"/>
        <w:rPr>
          <w:rFonts w:ascii="仿宋_GB2312" w:eastAsia="仿宋_GB2312" w:hAnsi="仿宋" w:hint="eastAsia"/>
          <w:sz w:val="32"/>
          <w:szCs w:val="32"/>
        </w:rPr>
      </w:pPr>
      <w:r w:rsidRPr="00DD06EF">
        <w:rPr>
          <w:rFonts w:ascii="仿宋_GB2312" w:eastAsia="仿宋_GB2312" w:hAnsi="仿宋" w:hint="eastAsia"/>
          <w:b/>
          <w:bCs/>
          <w:sz w:val="32"/>
          <w:szCs w:val="32"/>
        </w:rPr>
        <w:t xml:space="preserve">第九条 </w:t>
      </w:r>
      <w:r w:rsidRPr="00DD06EF">
        <w:rPr>
          <w:rFonts w:ascii="仿宋_GB2312" w:eastAsia="仿宋_GB2312" w:hAnsi="仿宋" w:hint="eastAsia"/>
          <w:sz w:val="32"/>
          <w:szCs w:val="32"/>
        </w:rPr>
        <w:t>固定资产出售、置换应当通过产权交易机构、协议方式以及国家法律、行政法规规定的其他方式进行，并严格控制产权交易机构之外的直接协议方式。</w:t>
      </w:r>
    </w:p>
    <w:p w:rsidR="00551384" w:rsidRPr="00DD06EF" w:rsidRDefault="00551384" w:rsidP="00551384">
      <w:pPr>
        <w:spacing w:line="600" w:lineRule="exact"/>
        <w:ind w:firstLineChars="200" w:firstLine="643"/>
        <w:rPr>
          <w:rFonts w:ascii="仿宋_GB2312" w:eastAsia="仿宋_GB2312" w:hAnsi="仿宋" w:hint="eastAsia"/>
          <w:sz w:val="32"/>
          <w:szCs w:val="32"/>
        </w:rPr>
      </w:pPr>
      <w:r w:rsidRPr="00DD06EF">
        <w:rPr>
          <w:rFonts w:ascii="仿宋_GB2312" w:eastAsia="仿宋_GB2312" w:hAnsi="仿宋" w:hint="eastAsia"/>
          <w:b/>
          <w:sz w:val="32"/>
          <w:szCs w:val="32"/>
        </w:rPr>
        <w:t xml:space="preserve">第十条 </w:t>
      </w:r>
      <w:r w:rsidRPr="00DD06EF">
        <w:rPr>
          <w:rFonts w:ascii="仿宋_GB2312" w:eastAsia="仿宋_GB2312" w:hAnsi="仿宋" w:hint="eastAsia"/>
          <w:sz w:val="32"/>
          <w:szCs w:val="32"/>
        </w:rPr>
        <w:t>固定资产对外捐赠，按照《徐州工程学院受赠及对外捐赠固定资产暂行管理办法》执行。</w:t>
      </w:r>
    </w:p>
    <w:p w:rsidR="00551384" w:rsidRPr="00DD06EF" w:rsidRDefault="00551384" w:rsidP="00551384">
      <w:pPr>
        <w:spacing w:line="600" w:lineRule="exact"/>
        <w:ind w:firstLineChars="200" w:firstLine="643"/>
        <w:rPr>
          <w:rFonts w:ascii="仿宋_GB2312" w:eastAsia="仿宋_GB2312" w:hAnsi="仿宋" w:hint="eastAsia"/>
          <w:bCs/>
          <w:sz w:val="32"/>
          <w:szCs w:val="32"/>
        </w:rPr>
      </w:pPr>
      <w:r w:rsidRPr="00DD06EF">
        <w:rPr>
          <w:rFonts w:ascii="仿宋_GB2312" w:eastAsia="仿宋_GB2312" w:hAnsi="仿宋" w:hint="eastAsia"/>
          <w:b/>
          <w:bCs/>
          <w:sz w:val="32"/>
          <w:szCs w:val="32"/>
        </w:rPr>
        <w:t>第十一条</w:t>
      </w:r>
      <w:r w:rsidRPr="00DD06EF">
        <w:rPr>
          <w:rFonts w:ascii="仿宋_GB2312" w:eastAsia="仿宋_GB2312" w:hAnsi="仿宋" w:hint="eastAsia"/>
          <w:sz w:val="32"/>
          <w:szCs w:val="32"/>
        </w:rPr>
        <w:t xml:space="preserve"> 固定资产处置收益纳入学校财务统一核算，</w:t>
      </w:r>
      <w:r w:rsidRPr="00DD06EF">
        <w:rPr>
          <w:rFonts w:ascii="仿宋_GB2312" w:eastAsia="仿宋_GB2312" w:hAnsi="仿宋" w:hint="eastAsia"/>
          <w:bCs/>
          <w:sz w:val="32"/>
          <w:szCs w:val="32"/>
        </w:rPr>
        <w:t>实行</w:t>
      </w:r>
      <w:r w:rsidRPr="00DD06EF">
        <w:rPr>
          <w:rFonts w:ascii="仿宋_GB2312" w:eastAsia="仿宋_GB2312" w:hAnsi="仿宋" w:hint="eastAsia"/>
          <w:bCs/>
          <w:sz w:val="32"/>
          <w:szCs w:val="32"/>
        </w:rPr>
        <w:lastRenderedPageBreak/>
        <w:t>“收支两条线”管理。</w:t>
      </w:r>
    </w:p>
    <w:p w:rsidR="00551384" w:rsidRPr="00DD06EF" w:rsidRDefault="00551384" w:rsidP="00551384">
      <w:pPr>
        <w:spacing w:line="600" w:lineRule="exact"/>
        <w:ind w:firstLineChars="200" w:firstLine="643"/>
        <w:rPr>
          <w:rFonts w:ascii="仿宋_GB2312" w:eastAsia="仿宋_GB2312" w:hAnsi="仿宋" w:hint="eastAsia"/>
          <w:sz w:val="32"/>
          <w:szCs w:val="32"/>
        </w:rPr>
      </w:pPr>
      <w:r w:rsidRPr="00DD06EF">
        <w:rPr>
          <w:rFonts w:ascii="仿宋_GB2312" w:eastAsia="仿宋_GB2312" w:hAnsi="仿宋" w:hint="eastAsia"/>
          <w:b/>
          <w:bCs/>
          <w:sz w:val="32"/>
          <w:szCs w:val="32"/>
        </w:rPr>
        <w:t>第十二条</w:t>
      </w:r>
      <w:r w:rsidRPr="00DD06EF">
        <w:rPr>
          <w:rFonts w:ascii="仿宋_GB2312" w:eastAsia="仿宋_GB2312" w:hAnsi="仿宋" w:hint="eastAsia"/>
          <w:sz w:val="32"/>
          <w:szCs w:val="32"/>
        </w:rPr>
        <w:t xml:space="preserve"> 本细则未涉及的其他资产处置按照国家有关规定执行。</w:t>
      </w:r>
    </w:p>
    <w:p w:rsidR="00551384" w:rsidRDefault="00551384" w:rsidP="00551384">
      <w:pPr>
        <w:spacing w:line="600" w:lineRule="exact"/>
        <w:ind w:firstLineChars="200" w:firstLine="643"/>
        <w:rPr>
          <w:rFonts w:ascii="仿宋_GB2312" w:eastAsia="仿宋_GB2312" w:hAnsi="仿宋" w:hint="eastAsia"/>
          <w:sz w:val="32"/>
          <w:szCs w:val="32"/>
        </w:rPr>
      </w:pPr>
      <w:r w:rsidRPr="00DD06EF">
        <w:rPr>
          <w:rFonts w:ascii="仿宋_GB2312" w:eastAsia="仿宋_GB2312" w:hAnsi="仿宋" w:hint="eastAsia"/>
          <w:b/>
          <w:sz w:val="32"/>
          <w:szCs w:val="32"/>
        </w:rPr>
        <w:t xml:space="preserve">第十三条 </w:t>
      </w:r>
      <w:r w:rsidRPr="00DD06EF">
        <w:rPr>
          <w:rFonts w:ascii="仿宋_GB2312" w:eastAsia="仿宋_GB2312" w:hAnsi="仿宋" w:hint="eastAsia"/>
          <w:sz w:val="32"/>
          <w:szCs w:val="32"/>
        </w:rPr>
        <w:t>本细则自发布之日起施行，由国资处负责解释。</w:t>
      </w:r>
      <w:bookmarkStart w:id="2" w:name="主题词"/>
      <w:bookmarkEnd w:id="2"/>
      <w:r w:rsidRPr="00DD06EF">
        <w:rPr>
          <w:rFonts w:ascii="仿宋_GB2312" w:eastAsia="仿宋_GB2312" w:hAnsi="仿宋" w:hint="eastAsia"/>
          <w:sz w:val="32"/>
          <w:szCs w:val="32"/>
        </w:rPr>
        <w:t>原《徐州工程学院固定资产处置实施办法（暂行）》（徐工院行发〔2015〕68号）同时废止。</w:t>
      </w:r>
    </w:p>
    <w:p w:rsidR="00551384" w:rsidRDefault="00551384" w:rsidP="00551384">
      <w:pPr>
        <w:spacing w:line="600" w:lineRule="exact"/>
        <w:ind w:firstLineChars="200" w:firstLine="640"/>
        <w:rPr>
          <w:rFonts w:ascii="仿宋_GB2312" w:eastAsia="仿宋_GB2312" w:hAnsi="仿宋" w:hint="eastAsia"/>
          <w:sz w:val="32"/>
          <w:szCs w:val="32"/>
        </w:rPr>
      </w:pPr>
    </w:p>
    <w:p w:rsidR="00551384" w:rsidRDefault="00551384" w:rsidP="00551384">
      <w:pPr>
        <w:spacing w:line="600" w:lineRule="exact"/>
        <w:ind w:firstLineChars="200" w:firstLine="640"/>
        <w:rPr>
          <w:rFonts w:ascii="仿宋_GB2312" w:eastAsia="仿宋_GB2312" w:hAnsi="仿宋" w:hint="eastAsia"/>
          <w:sz w:val="32"/>
          <w:szCs w:val="32"/>
        </w:rPr>
      </w:pPr>
    </w:p>
    <w:p w:rsidR="00551384" w:rsidRDefault="00551384" w:rsidP="00551384">
      <w:pPr>
        <w:spacing w:line="600" w:lineRule="exact"/>
        <w:ind w:right="640" w:firstLineChars="200" w:firstLine="640"/>
        <w:jc w:val="right"/>
        <w:rPr>
          <w:rFonts w:ascii="仿宋_GB2312" w:eastAsia="仿宋_GB2312" w:hAnsi="仿宋" w:hint="eastAsia"/>
          <w:sz w:val="32"/>
          <w:szCs w:val="32"/>
        </w:rPr>
      </w:pPr>
      <w:r>
        <w:rPr>
          <w:rFonts w:ascii="仿宋_GB2312" w:eastAsia="仿宋_GB2312" w:hAnsi="仿宋" w:hint="eastAsia"/>
          <w:sz w:val="32"/>
          <w:szCs w:val="32"/>
        </w:rPr>
        <w:t>徐州工程学院</w:t>
      </w:r>
    </w:p>
    <w:p w:rsidR="00551384" w:rsidRDefault="00551384" w:rsidP="00551384">
      <w:pPr>
        <w:spacing w:line="600" w:lineRule="exact"/>
        <w:ind w:right="320" w:firstLineChars="200" w:firstLine="640"/>
        <w:jc w:val="right"/>
        <w:rPr>
          <w:rFonts w:ascii="仿宋_GB2312" w:eastAsia="仿宋_GB2312" w:hAnsi="仿宋" w:hint="eastAsia"/>
          <w:sz w:val="32"/>
          <w:szCs w:val="32"/>
        </w:rPr>
      </w:pPr>
      <w:r>
        <w:rPr>
          <w:rFonts w:ascii="仿宋_GB2312" w:eastAsia="仿宋_GB2312" w:hAnsi="仿宋" w:hint="eastAsia"/>
          <w:sz w:val="32"/>
          <w:szCs w:val="32"/>
        </w:rPr>
        <w:t>2021年1月14日</w:t>
      </w:r>
    </w:p>
    <w:p w:rsidR="00CA6B13" w:rsidRDefault="00CA6B13" w:rsidP="00CA6B13">
      <w:pPr>
        <w:spacing w:line="600" w:lineRule="exact"/>
        <w:ind w:right="960"/>
        <w:jc w:val="right"/>
        <w:rPr>
          <w:rFonts w:ascii="仿宋_GB2312" w:eastAsia="仿宋_GB2312" w:hAnsi="宋体" w:cs="宋体"/>
          <w:color w:val="2A2F35"/>
          <w:kern w:val="0"/>
          <w:sz w:val="32"/>
          <w:szCs w:val="32"/>
        </w:rPr>
      </w:pPr>
    </w:p>
    <w:p w:rsidR="00CA6B13" w:rsidRDefault="00CA6B13" w:rsidP="00CA6B13">
      <w:pPr>
        <w:spacing w:line="600" w:lineRule="exact"/>
        <w:ind w:right="960"/>
        <w:jc w:val="right"/>
        <w:rPr>
          <w:rFonts w:ascii="仿宋_GB2312" w:eastAsia="仿宋_GB2312" w:hAnsi="宋体" w:cs="宋体"/>
          <w:color w:val="2A2F35"/>
          <w:kern w:val="0"/>
          <w:sz w:val="32"/>
          <w:szCs w:val="32"/>
        </w:rPr>
      </w:pPr>
    </w:p>
    <w:p w:rsidR="00CA6B13" w:rsidRDefault="00CA6B13" w:rsidP="00CA6B13">
      <w:pPr>
        <w:spacing w:line="600" w:lineRule="exact"/>
        <w:ind w:right="960"/>
        <w:jc w:val="right"/>
        <w:rPr>
          <w:rFonts w:ascii="仿宋_GB2312" w:eastAsia="仿宋_GB2312" w:hAnsi="宋体" w:cs="宋体"/>
          <w:color w:val="2A2F35"/>
          <w:kern w:val="0"/>
          <w:sz w:val="32"/>
          <w:szCs w:val="32"/>
        </w:rPr>
      </w:pPr>
    </w:p>
    <w:p w:rsidR="00CA6B13" w:rsidRDefault="00CA6B13" w:rsidP="00CA6B13">
      <w:pPr>
        <w:spacing w:line="600" w:lineRule="exact"/>
        <w:ind w:right="960"/>
        <w:jc w:val="right"/>
        <w:rPr>
          <w:rFonts w:ascii="仿宋_GB2312" w:eastAsia="仿宋_GB2312" w:hAnsi="宋体" w:cs="宋体"/>
          <w:color w:val="2A2F35"/>
          <w:kern w:val="0"/>
          <w:sz w:val="32"/>
          <w:szCs w:val="32"/>
        </w:rPr>
      </w:pPr>
    </w:p>
    <w:p w:rsidR="00CA6B13" w:rsidRDefault="00CA6B13" w:rsidP="00CA6B13">
      <w:pPr>
        <w:spacing w:line="600" w:lineRule="exact"/>
        <w:ind w:right="960"/>
        <w:jc w:val="right"/>
        <w:rPr>
          <w:rFonts w:ascii="仿宋_GB2312" w:eastAsia="仿宋_GB2312" w:hAnsi="宋体" w:cs="宋体"/>
          <w:color w:val="2A2F35"/>
          <w:kern w:val="0"/>
          <w:sz w:val="32"/>
          <w:szCs w:val="32"/>
        </w:rPr>
      </w:pPr>
    </w:p>
    <w:p w:rsidR="00CA6B13" w:rsidRDefault="00CA6B13" w:rsidP="00CA6B13">
      <w:pPr>
        <w:spacing w:line="600" w:lineRule="exact"/>
        <w:ind w:right="960"/>
        <w:jc w:val="right"/>
        <w:rPr>
          <w:rFonts w:ascii="仿宋_GB2312" w:eastAsia="仿宋_GB2312" w:hAnsi="宋体" w:cs="宋体"/>
          <w:color w:val="2A2F35"/>
          <w:kern w:val="0"/>
          <w:sz w:val="32"/>
          <w:szCs w:val="32"/>
        </w:rPr>
      </w:pPr>
    </w:p>
    <w:p w:rsidR="00CA6B13" w:rsidRDefault="00CA6B13" w:rsidP="00CA6B13">
      <w:pPr>
        <w:spacing w:line="600" w:lineRule="exact"/>
        <w:ind w:right="960"/>
        <w:jc w:val="right"/>
        <w:rPr>
          <w:rFonts w:ascii="仿宋_GB2312" w:eastAsia="仿宋_GB2312" w:hAnsi="宋体" w:cs="宋体"/>
          <w:color w:val="2A2F35"/>
          <w:kern w:val="0"/>
          <w:sz w:val="32"/>
          <w:szCs w:val="32"/>
        </w:rPr>
      </w:pPr>
    </w:p>
    <w:p w:rsidR="00CA6B13" w:rsidRDefault="00CA6B13" w:rsidP="00CA6B13">
      <w:pPr>
        <w:spacing w:line="600" w:lineRule="exact"/>
        <w:ind w:right="960"/>
        <w:jc w:val="right"/>
        <w:rPr>
          <w:rFonts w:ascii="仿宋_GB2312" w:eastAsia="仿宋_GB2312" w:hAnsi="宋体" w:cs="宋体"/>
          <w:color w:val="2A2F35"/>
          <w:kern w:val="0"/>
          <w:sz w:val="32"/>
          <w:szCs w:val="32"/>
        </w:rPr>
      </w:pPr>
    </w:p>
    <w:p w:rsidR="00CA6B13" w:rsidRPr="00CA6B13" w:rsidRDefault="00CA6B13" w:rsidP="00CA6B13">
      <w:pPr>
        <w:spacing w:line="600" w:lineRule="exact"/>
        <w:ind w:right="960"/>
        <w:jc w:val="right"/>
        <w:rPr>
          <w:rFonts w:ascii="仿宋_GB2312" w:eastAsia="仿宋_GB2312" w:hAnsi="宋体" w:cs="宋体"/>
          <w:color w:val="2A2F35"/>
          <w:kern w:val="0"/>
          <w:sz w:val="32"/>
          <w:szCs w:val="32"/>
        </w:rPr>
      </w:pPr>
    </w:p>
    <w:p w:rsidR="00B94CF7" w:rsidRPr="00F6674A" w:rsidRDefault="00B94CF7" w:rsidP="00B94CF7">
      <w:pPr>
        <w:spacing w:line="600" w:lineRule="exact"/>
        <w:jc w:val="right"/>
        <w:rPr>
          <w:rFonts w:ascii="仿宋_GB2312" w:eastAsia="仿宋_GB2312" w:hAnsi="宋体" w:cs="宋体"/>
          <w:color w:val="2A2F35"/>
          <w:kern w:val="0"/>
          <w:sz w:val="32"/>
          <w:szCs w:val="32"/>
        </w:rPr>
      </w:pPr>
    </w:p>
    <w:p w:rsidR="00317F11" w:rsidRDefault="00317F11" w:rsidP="001A6118">
      <w:pPr>
        <w:spacing w:line="80" w:lineRule="exact"/>
        <w:rPr>
          <w:sz w:val="32"/>
          <w:szCs w:val="32"/>
          <w:u w:val="single"/>
        </w:rPr>
      </w:pPr>
    </w:p>
    <w:p w:rsidR="00317F11" w:rsidRDefault="00317F11" w:rsidP="001A6118">
      <w:pPr>
        <w:spacing w:line="80" w:lineRule="exact"/>
        <w:rPr>
          <w:rFonts w:hint="eastAsia"/>
          <w:sz w:val="32"/>
          <w:szCs w:val="32"/>
          <w:u w:val="single"/>
        </w:rPr>
      </w:pPr>
    </w:p>
    <w:p w:rsidR="00551384" w:rsidRDefault="00551384" w:rsidP="001A6118">
      <w:pPr>
        <w:spacing w:line="80" w:lineRule="exact"/>
        <w:rPr>
          <w:rFonts w:hint="eastAsia"/>
          <w:sz w:val="32"/>
          <w:szCs w:val="32"/>
          <w:u w:val="single"/>
        </w:rPr>
      </w:pPr>
    </w:p>
    <w:p w:rsidR="00551384" w:rsidRDefault="00551384" w:rsidP="001A6118">
      <w:pPr>
        <w:spacing w:line="80" w:lineRule="exact"/>
        <w:rPr>
          <w:sz w:val="32"/>
          <w:szCs w:val="32"/>
          <w:u w:val="single"/>
        </w:rPr>
      </w:pPr>
    </w:p>
    <w:p w:rsidR="00317F11" w:rsidRDefault="00317F11" w:rsidP="001A6118">
      <w:pPr>
        <w:spacing w:line="80" w:lineRule="exact"/>
        <w:rPr>
          <w:sz w:val="32"/>
          <w:szCs w:val="32"/>
          <w:u w:val="single"/>
        </w:rPr>
      </w:pPr>
    </w:p>
    <w:p w:rsidR="00317F11" w:rsidRDefault="00317F11" w:rsidP="001A6118">
      <w:pPr>
        <w:spacing w:line="80" w:lineRule="exact"/>
        <w:rPr>
          <w:sz w:val="32"/>
          <w:szCs w:val="32"/>
          <w:u w:val="single"/>
        </w:rPr>
      </w:pPr>
    </w:p>
    <w:p w:rsidR="002C6018" w:rsidRDefault="002C6018" w:rsidP="001A6118">
      <w:pPr>
        <w:spacing w:line="80" w:lineRule="exact"/>
        <w:rPr>
          <w:sz w:val="32"/>
          <w:szCs w:val="32"/>
          <w:u w:val="single"/>
        </w:rPr>
      </w:pPr>
    </w:p>
    <w:p w:rsidR="001A6118" w:rsidRPr="000C26A9" w:rsidRDefault="001A6118" w:rsidP="001A6118">
      <w:pPr>
        <w:spacing w:line="80" w:lineRule="exact"/>
        <w:rPr>
          <w:sz w:val="32"/>
          <w:szCs w:val="32"/>
          <w:u w:val="single"/>
        </w:rPr>
      </w:pPr>
      <w:r>
        <w:rPr>
          <w:rFonts w:hint="eastAsia"/>
          <w:sz w:val="32"/>
          <w:szCs w:val="32"/>
          <w:u w:val="single"/>
        </w:rPr>
        <w:t xml:space="preserve">                                                       </w:t>
      </w:r>
    </w:p>
    <w:p w:rsidR="001A6118" w:rsidRPr="00054963" w:rsidRDefault="001A6118" w:rsidP="001A6118">
      <w:pPr>
        <w:ind w:firstLineChars="50" w:firstLine="140"/>
        <w:rPr>
          <w:rFonts w:ascii="仿宋_GB2312" w:eastAsia="仿宋_GB2312" w:hAnsi="仿宋"/>
          <w:sz w:val="28"/>
          <w:szCs w:val="28"/>
        </w:rPr>
      </w:pPr>
      <w:r w:rsidRPr="00054963">
        <w:rPr>
          <w:rFonts w:ascii="仿宋_GB2312" w:eastAsia="仿宋_GB2312" w:hAnsi="仿宋" w:hint="eastAsia"/>
          <w:sz w:val="28"/>
          <w:szCs w:val="28"/>
        </w:rPr>
        <w:t xml:space="preserve">徐州工程学院院长办公室             </w:t>
      </w:r>
      <w:r w:rsidR="009A7EA7" w:rsidRPr="00054963">
        <w:rPr>
          <w:rFonts w:ascii="仿宋_GB2312" w:eastAsia="仿宋_GB2312" w:hAnsi="仿宋" w:hint="eastAsia"/>
          <w:sz w:val="28"/>
          <w:szCs w:val="28"/>
        </w:rPr>
        <w:t xml:space="preserve"> </w:t>
      </w:r>
      <w:r w:rsidRPr="00054963">
        <w:rPr>
          <w:rFonts w:ascii="仿宋_GB2312" w:eastAsia="仿宋_GB2312" w:hAnsi="仿宋" w:hint="eastAsia"/>
          <w:sz w:val="28"/>
          <w:szCs w:val="28"/>
        </w:rPr>
        <w:t xml:space="preserve"> </w:t>
      </w:r>
      <w:r w:rsidR="008E6C10" w:rsidRPr="00054963">
        <w:rPr>
          <w:rFonts w:ascii="仿宋_GB2312" w:eastAsia="仿宋_GB2312" w:hAnsi="仿宋" w:hint="eastAsia"/>
          <w:sz w:val="28"/>
          <w:szCs w:val="28"/>
        </w:rPr>
        <w:t xml:space="preserve">  </w:t>
      </w:r>
      <w:r w:rsidR="00371B44" w:rsidRPr="00054963">
        <w:rPr>
          <w:rFonts w:ascii="仿宋_GB2312" w:eastAsia="仿宋_GB2312" w:hAnsi="仿宋" w:hint="eastAsia"/>
          <w:sz w:val="28"/>
          <w:szCs w:val="28"/>
        </w:rPr>
        <w:t xml:space="preserve"> </w:t>
      </w:r>
      <w:r w:rsidR="00824F7F">
        <w:rPr>
          <w:rFonts w:ascii="仿宋_GB2312" w:eastAsia="仿宋_GB2312" w:hAnsi="仿宋" w:hint="eastAsia"/>
          <w:sz w:val="28"/>
          <w:szCs w:val="28"/>
        </w:rPr>
        <w:t xml:space="preserve"> 202</w:t>
      </w:r>
      <w:r w:rsidR="00FA328F">
        <w:rPr>
          <w:rFonts w:ascii="仿宋_GB2312" w:eastAsia="仿宋_GB2312" w:hAnsi="仿宋" w:hint="eastAsia"/>
          <w:sz w:val="28"/>
          <w:szCs w:val="28"/>
        </w:rPr>
        <w:t>1</w:t>
      </w:r>
      <w:r w:rsidRPr="00054963">
        <w:rPr>
          <w:rFonts w:ascii="仿宋_GB2312" w:eastAsia="仿宋_GB2312" w:hAnsi="仿宋" w:hint="eastAsia"/>
          <w:sz w:val="28"/>
          <w:szCs w:val="28"/>
        </w:rPr>
        <w:t>年</w:t>
      </w:r>
      <w:r w:rsidR="00FA328F">
        <w:rPr>
          <w:rFonts w:ascii="仿宋_GB2312" w:eastAsia="仿宋_GB2312" w:hAnsi="仿宋" w:hint="eastAsia"/>
          <w:sz w:val="28"/>
          <w:szCs w:val="28"/>
        </w:rPr>
        <w:t>1</w:t>
      </w:r>
      <w:r w:rsidRPr="00054963">
        <w:rPr>
          <w:rFonts w:ascii="仿宋_GB2312" w:eastAsia="仿宋_GB2312" w:hAnsi="仿宋" w:hint="eastAsia"/>
          <w:sz w:val="28"/>
          <w:szCs w:val="28"/>
        </w:rPr>
        <w:t>月</w:t>
      </w:r>
      <w:r w:rsidR="00551384">
        <w:rPr>
          <w:rFonts w:ascii="仿宋_GB2312" w:eastAsia="仿宋_GB2312" w:hAnsi="仿宋" w:hint="eastAsia"/>
          <w:sz w:val="28"/>
          <w:szCs w:val="28"/>
        </w:rPr>
        <w:t>14</w:t>
      </w:r>
      <w:r w:rsidRPr="00054963">
        <w:rPr>
          <w:rFonts w:ascii="仿宋_GB2312" w:eastAsia="仿宋_GB2312" w:hAnsi="仿宋" w:hint="eastAsia"/>
          <w:sz w:val="28"/>
          <w:szCs w:val="28"/>
        </w:rPr>
        <w:t>日印发</w:t>
      </w:r>
    </w:p>
    <w:p w:rsidR="008B0093" w:rsidRDefault="001A6118">
      <w:pPr>
        <w:spacing w:line="80" w:lineRule="exact"/>
        <w:rPr>
          <w:rFonts w:hint="eastAsia"/>
          <w:sz w:val="32"/>
          <w:szCs w:val="32"/>
          <w:u w:val="single"/>
        </w:rPr>
      </w:pPr>
      <w:r>
        <w:rPr>
          <w:rFonts w:hint="eastAsia"/>
          <w:sz w:val="32"/>
          <w:szCs w:val="32"/>
          <w:u w:val="single"/>
        </w:rPr>
        <w:t xml:space="preserve">                                                      </w:t>
      </w:r>
      <w:bookmarkStart w:id="3" w:name="_GoBack"/>
      <w:bookmarkEnd w:id="3"/>
      <w:r>
        <w:rPr>
          <w:rFonts w:hint="eastAsia"/>
          <w:sz w:val="32"/>
          <w:szCs w:val="32"/>
          <w:u w:val="single"/>
        </w:rPr>
        <w:t xml:space="preserve"> </w:t>
      </w:r>
    </w:p>
    <w:p w:rsidR="00551384" w:rsidRDefault="00551384" w:rsidP="00551384">
      <w:pPr>
        <w:spacing w:line="600" w:lineRule="exact"/>
        <w:rPr>
          <w:rFonts w:ascii="仿宋_GB2312" w:eastAsia="仿宋_GB2312" w:hAnsi="黑体" w:hint="eastAsia"/>
          <w:sz w:val="32"/>
          <w:szCs w:val="32"/>
        </w:rPr>
      </w:pPr>
      <w:r w:rsidRPr="00DD06EF">
        <w:rPr>
          <w:rFonts w:ascii="仿宋_GB2312" w:eastAsia="仿宋_GB2312" w:hAnsi="黑体" w:hint="eastAsia"/>
          <w:sz w:val="32"/>
          <w:szCs w:val="32"/>
        </w:rPr>
        <w:lastRenderedPageBreak/>
        <w:t xml:space="preserve">附件：                  </w:t>
      </w:r>
    </w:p>
    <w:p w:rsidR="00551384" w:rsidRPr="00DD06EF" w:rsidRDefault="00551384" w:rsidP="00551384">
      <w:pPr>
        <w:spacing w:line="600" w:lineRule="exact"/>
        <w:jc w:val="center"/>
        <w:rPr>
          <w:rFonts w:ascii="宋体" w:hAnsi="宋体" w:hint="eastAsia"/>
          <w:b/>
          <w:sz w:val="36"/>
          <w:szCs w:val="32"/>
        </w:rPr>
      </w:pPr>
      <w:r w:rsidRPr="00DD06EF">
        <w:rPr>
          <w:rFonts w:ascii="宋体" w:hAnsi="宋体" w:hint="eastAsia"/>
          <w:b/>
          <w:sz w:val="36"/>
          <w:szCs w:val="32"/>
        </w:rPr>
        <w:t>固定资产折旧年限表</w:t>
      </w:r>
    </w:p>
    <w:tbl>
      <w:tblPr>
        <w:tblW w:w="5000" w:type="pct"/>
        <w:tblLayout w:type="fixed"/>
        <w:tblLook w:val="00A0"/>
      </w:tblPr>
      <w:tblGrid>
        <w:gridCol w:w="2224"/>
        <w:gridCol w:w="1676"/>
        <w:gridCol w:w="2975"/>
        <w:gridCol w:w="2185"/>
      </w:tblGrid>
      <w:tr w:rsidR="00551384" w:rsidRPr="00DD06EF" w:rsidTr="00A70DC3">
        <w:trPr>
          <w:trHeight w:val="402"/>
        </w:trPr>
        <w:tc>
          <w:tcPr>
            <w:tcW w:w="1227" w:type="pct"/>
            <w:tcBorders>
              <w:top w:val="single" w:sz="4" w:space="0" w:color="auto"/>
              <w:left w:val="single" w:sz="4" w:space="0" w:color="auto"/>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b/>
                <w:bCs/>
                <w:kern w:val="0"/>
                <w:sz w:val="24"/>
              </w:rPr>
            </w:pPr>
            <w:r w:rsidRPr="00DD06EF">
              <w:rPr>
                <w:rFonts w:ascii="仿宋_GB2312" w:eastAsia="仿宋_GB2312" w:hint="eastAsia"/>
                <w:b/>
                <w:bCs/>
                <w:kern w:val="0"/>
                <w:sz w:val="24"/>
              </w:rPr>
              <w:t>固定资产类别</w:t>
            </w:r>
          </w:p>
        </w:tc>
        <w:tc>
          <w:tcPr>
            <w:tcW w:w="2567" w:type="pct"/>
            <w:gridSpan w:val="2"/>
            <w:tcBorders>
              <w:top w:val="single" w:sz="4" w:space="0" w:color="auto"/>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b/>
                <w:bCs/>
                <w:kern w:val="0"/>
                <w:sz w:val="24"/>
              </w:rPr>
            </w:pPr>
            <w:r w:rsidRPr="00DD06EF">
              <w:rPr>
                <w:rFonts w:ascii="仿宋_GB2312" w:eastAsia="仿宋_GB2312" w:hint="eastAsia"/>
                <w:b/>
                <w:bCs/>
                <w:kern w:val="0"/>
                <w:sz w:val="24"/>
              </w:rPr>
              <w:t>内容</w:t>
            </w:r>
          </w:p>
        </w:tc>
        <w:tc>
          <w:tcPr>
            <w:tcW w:w="1206" w:type="pct"/>
            <w:tcBorders>
              <w:top w:val="single" w:sz="4" w:space="0" w:color="auto"/>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b/>
                <w:bCs/>
                <w:kern w:val="0"/>
                <w:sz w:val="24"/>
              </w:rPr>
            </w:pPr>
            <w:r w:rsidRPr="00DD06EF">
              <w:rPr>
                <w:rFonts w:ascii="仿宋_GB2312" w:eastAsia="仿宋_GB2312" w:hint="eastAsia"/>
                <w:b/>
                <w:bCs/>
                <w:kern w:val="0"/>
                <w:sz w:val="24"/>
              </w:rPr>
              <w:t>折旧年限（年）</w:t>
            </w:r>
          </w:p>
        </w:tc>
      </w:tr>
      <w:tr w:rsidR="00551384" w:rsidRPr="00DD06EF" w:rsidTr="00A70DC3">
        <w:trPr>
          <w:trHeight w:val="402"/>
        </w:trPr>
        <w:tc>
          <w:tcPr>
            <w:tcW w:w="1227" w:type="pct"/>
            <w:vMerge w:val="restart"/>
            <w:tcBorders>
              <w:top w:val="nil"/>
              <w:left w:val="single" w:sz="4" w:space="0" w:color="auto"/>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房屋及构筑物</w:t>
            </w:r>
          </w:p>
        </w:tc>
        <w:tc>
          <w:tcPr>
            <w:tcW w:w="925" w:type="pct"/>
            <w:vMerge w:val="restart"/>
            <w:tcBorders>
              <w:top w:val="nil"/>
              <w:left w:val="nil"/>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业务及管理用房</w:t>
            </w:r>
          </w:p>
        </w:tc>
        <w:tc>
          <w:tcPr>
            <w:tcW w:w="1642" w:type="pct"/>
            <w:tcBorders>
              <w:top w:val="nil"/>
              <w:left w:val="nil"/>
              <w:bottom w:val="single" w:sz="4" w:space="0" w:color="auto"/>
              <w:right w:val="single" w:sz="4" w:space="0" w:color="auto"/>
            </w:tcBorders>
            <w:vAlign w:val="center"/>
          </w:tcPr>
          <w:p w:rsidR="00551384" w:rsidRPr="00DD06EF" w:rsidRDefault="00551384" w:rsidP="00A70DC3">
            <w:pPr>
              <w:spacing w:line="600" w:lineRule="exact"/>
              <w:jc w:val="center"/>
              <w:rPr>
                <w:rFonts w:ascii="仿宋_GB2312" w:eastAsia="仿宋_GB2312" w:hint="eastAsia"/>
                <w:kern w:val="0"/>
                <w:sz w:val="24"/>
              </w:rPr>
            </w:pPr>
            <w:r w:rsidRPr="00DD06EF">
              <w:rPr>
                <w:rFonts w:ascii="仿宋_GB2312" w:eastAsia="仿宋_GB2312" w:hint="eastAsia"/>
                <w:kern w:val="0"/>
                <w:sz w:val="24"/>
              </w:rPr>
              <w:t>钢结构</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不低于50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925" w:type="pct"/>
            <w:vMerge/>
            <w:tcBorders>
              <w:left w:val="nil"/>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p>
        </w:tc>
        <w:tc>
          <w:tcPr>
            <w:tcW w:w="1642" w:type="pct"/>
            <w:tcBorders>
              <w:top w:val="nil"/>
              <w:left w:val="nil"/>
              <w:bottom w:val="single" w:sz="4" w:space="0" w:color="auto"/>
              <w:right w:val="single" w:sz="4" w:space="0" w:color="auto"/>
            </w:tcBorders>
            <w:vAlign w:val="center"/>
          </w:tcPr>
          <w:p w:rsidR="00551384" w:rsidRPr="00DD06EF" w:rsidRDefault="00551384" w:rsidP="00A70DC3">
            <w:pPr>
              <w:spacing w:line="600" w:lineRule="exact"/>
              <w:jc w:val="center"/>
              <w:rPr>
                <w:rFonts w:ascii="仿宋_GB2312" w:eastAsia="仿宋_GB2312" w:hint="eastAsia"/>
                <w:kern w:val="0"/>
                <w:sz w:val="24"/>
              </w:rPr>
            </w:pPr>
            <w:r w:rsidRPr="00DD06EF">
              <w:rPr>
                <w:rFonts w:ascii="仿宋_GB2312" w:eastAsia="仿宋_GB2312" w:hint="eastAsia"/>
                <w:kern w:val="0"/>
                <w:sz w:val="24"/>
              </w:rPr>
              <w:t>钢筋混凝土结构</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不低于50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925" w:type="pct"/>
            <w:vMerge/>
            <w:tcBorders>
              <w:left w:val="nil"/>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p>
        </w:tc>
        <w:tc>
          <w:tcPr>
            <w:tcW w:w="1642" w:type="pct"/>
            <w:tcBorders>
              <w:top w:val="nil"/>
              <w:left w:val="nil"/>
              <w:bottom w:val="single" w:sz="4" w:space="0" w:color="auto"/>
              <w:right w:val="single" w:sz="4" w:space="0" w:color="auto"/>
            </w:tcBorders>
            <w:vAlign w:val="center"/>
          </w:tcPr>
          <w:p w:rsidR="00551384" w:rsidRPr="00DD06EF" w:rsidRDefault="00551384" w:rsidP="00A70DC3">
            <w:pPr>
              <w:spacing w:line="600" w:lineRule="exact"/>
              <w:jc w:val="center"/>
              <w:rPr>
                <w:rFonts w:ascii="仿宋_GB2312" w:eastAsia="仿宋_GB2312" w:hint="eastAsia"/>
                <w:kern w:val="0"/>
                <w:sz w:val="24"/>
              </w:rPr>
            </w:pPr>
            <w:r w:rsidRPr="00DD06EF">
              <w:rPr>
                <w:rFonts w:ascii="仿宋_GB2312" w:eastAsia="仿宋_GB2312" w:hint="eastAsia"/>
                <w:kern w:val="0"/>
                <w:sz w:val="24"/>
              </w:rPr>
              <w:t>砖混结构</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tabs>
                <w:tab w:val="center" w:pos="4153"/>
                <w:tab w:val="right" w:pos="8306"/>
              </w:tabs>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不低于30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925" w:type="pct"/>
            <w:vMerge/>
            <w:tcBorders>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p>
        </w:tc>
        <w:tc>
          <w:tcPr>
            <w:tcW w:w="1642" w:type="pct"/>
            <w:tcBorders>
              <w:top w:val="nil"/>
              <w:left w:val="nil"/>
              <w:bottom w:val="single" w:sz="4" w:space="0" w:color="auto"/>
              <w:right w:val="single" w:sz="4" w:space="0" w:color="auto"/>
            </w:tcBorders>
            <w:vAlign w:val="center"/>
          </w:tcPr>
          <w:p w:rsidR="00551384" w:rsidRPr="00DD06EF" w:rsidRDefault="00551384" w:rsidP="00A70DC3">
            <w:pPr>
              <w:spacing w:line="600" w:lineRule="exact"/>
              <w:jc w:val="center"/>
              <w:rPr>
                <w:rFonts w:ascii="仿宋_GB2312" w:eastAsia="仿宋_GB2312" w:hint="eastAsia"/>
                <w:kern w:val="0"/>
                <w:sz w:val="24"/>
              </w:rPr>
            </w:pPr>
            <w:r w:rsidRPr="00DD06EF">
              <w:rPr>
                <w:rFonts w:ascii="仿宋_GB2312" w:eastAsia="仿宋_GB2312" w:hint="eastAsia"/>
                <w:kern w:val="0"/>
                <w:sz w:val="24"/>
              </w:rPr>
              <w:t>砖木结构</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不低于30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single" w:sz="4" w:space="0" w:color="auto"/>
              <w:left w:val="nil"/>
              <w:bottom w:val="single" w:sz="4" w:space="0" w:color="auto"/>
              <w:right w:val="single" w:sz="4" w:space="0" w:color="auto"/>
            </w:tcBorders>
            <w:noWrap/>
            <w:vAlign w:val="center"/>
          </w:tcPr>
          <w:p w:rsidR="00551384" w:rsidRPr="00DD06EF" w:rsidRDefault="00551384" w:rsidP="00A70DC3">
            <w:pPr>
              <w:spacing w:line="600" w:lineRule="exact"/>
              <w:jc w:val="center"/>
              <w:rPr>
                <w:rFonts w:ascii="仿宋_GB2312" w:eastAsia="仿宋_GB2312" w:hint="eastAsia"/>
                <w:kern w:val="0"/>
                <w:sz w:val="24"/>
              </w:rPr>
            </w:pPr>
            <w:r w:rsidRPr="00DD06EF">
              <w:rPr>
                <w:rFonts w:ascii="仿宋_GB2312" w:eastAsia="仿宋_GB2312" w:hint="eastAsia"/>
                <w:kern w:val="0"/>
                <w:sz w:val="24"/>
              </w:rPr>
              <w:t>简易房</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不低于8</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single" w:sz="4" w:space="0" w:color="auto"/>
              <w:left w:val="nil"/>
              <w:bottom w:val="single" w:sz="4" w:space="0" w:color="auto"/>
              <w:right w:val="single" w:sz="4" w:space="0" w:color="auto"/>
            </w:tcBorders>
            <w:noWrap/>
            <w:vAlign w:val="center"/>
          </w:tcPr>
          <w:p w:rsidR="00551384" w:rsidRPr="00DD06EF" w:rsidRDefault="00551384" w:rsidP="00A70DC3">
            <w:pPr>
              <w:spacing w:line="600" w:lineRule="exact"/>
              <w:jc w:val="center"/>
              <w:rPr>
                <w:rFonts w:ascii="仿宋_GB2312" w:eastAsia="仿宋_GB2312" w:hint="eastAsia"/>
                <w:kern w:val="0"/>
                <w:sz w:val="24"/>
              </w:rPr>
            </w:pPr>
            <w:r w:rsidRPr="00DD06EF">
              <w:rPr>
                <w:rFonts w:ascii="仿宋_GB2312" w:eastAsia="仿宋_GB2312" w:hint="eastAsia"/>
                <w:kern w:val="0"/>
                <w:sz w:val="24"/>
              </w:rPr>
              <w:t>房屋附属设施</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不低于8</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构筑物</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不低于8</w:t>
            </w:r>
          </w:p>
        </w:tc>
      </w:tr>
      <w:tr w:rsidR="00551384" w:rsidRPr="00DD06EF" w:rsidTr="00A70DC3">
        <w:trPr>
          <w:trHeight w:val="402"/>
        </w:trPr>
        <w:tc>
          <w:tcPr>
            <w:tcW w:w="1227" w:type="pct"/>
            <w:vMerge w:val="restart"/>
            <w:tcBorders>
              <w:top w:val="nil"/>
              <w:left w:val="single" w:sz="4" w:space="0" w:color="auto"/>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通用设备</w:t>
            </w: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计算机设备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不低于6</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办公设备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不低于6</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车辆</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不低于8</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图书档案设备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机械设备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不低于10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电气设备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雷达、无线电和卫星导航设备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不低于10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通信设备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广播、电视、电影设备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仪器仪表</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电子和通信测量设备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计量标准器具及量具、衡器</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不低于5</w:t>
            </w:r>
          </w:p>
        </w:tc>
      </w:tr>
      <w:tr w:rsidR="00551384" w:rsidRPr="00DD06EF" w:rsidTr="00A70DC3">
        <w:trPr>
          <w:trHeight w:val="402"/>
        </w:trPr>
        <w:tc>
          <w:tcPr>
            <w:tcW w:w="1227" w:type="pct"/>
            <w:vMerge w:val="restart"/>
            <w:tcBorders>
              <w:top w:val="nil"/>
              <w:left w:val="single" w:sz="4" w:space="0" w:color="auto"/>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lastRenderedPageBreak/>
              <w:t>专用设备</w:t>
            </w: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探矿、采矿、选矿和</w:t>
            </w:r>
            <w:proofErr w:type="gramStart"/>
            <w:r w:rsidRPr="00DD06EF">
              <w:rPr>
                <w:rFonts w:ascii="仿宋_GB2312" w:eastAsia="仿宋_GB2312" w:hint="eastAsia"/>
                <w:kern w:val="0"/>
                <w:sz w:val="24"/>
              </w:rPr>
              <w:t>造块设备</w:t>
            </w:r>
            <w:proofErr w:type="gramEnd"/>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10-15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石油天然气开采专用设备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10-15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石油和化学工业专用设备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10-15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炼焦和金属冶炼轧制设备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10-15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tabs>
                <w:tab w:val="center" w:pos="4153"/>
                <w:tab w:val="right" w:pos="8306"/>
              </w:tabs>
              <w:spacing w:line="600" w:lineRule="exact"/>
              <w:jc w:val="center"/>
              <w:rPr>
                <w:rFonts w:ascii="仿宋_GB2312" w:eastAsia="仿宋_GB2312" w:hint="eastAsia"/>
                <w:kern w:val="0"/>
                <w:sz w:val="24"/>
              </w:rPr>
            </w:pPr>
            <w:r w:rsidRPr="00DD06EF">
              <w:rPr>
                <w:rFonts w:ascii="仿宋_GB2312" w:eastAsia="仿宋_GB2312" w:hint="eastAsia"/>
                <w:kern w:val="0"/>
                <w:sz w:val="24"/>
              </w:rPr>
              <w:t>电力工业专用设备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20-30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tabs>
                <w:tab w:val="center" w:pos="4153"/>
                <w:tab w:val="right" w:pos="8306"/>
              </w:tabs>
              <w:spacing w:line="600" w:lineRule="exact"/>
              <w:jc w:val="center"/>
              <w:rPr>
                <w:rFonts w:ascii="仿宋_GB2312" w:eastAsia="仿宋_GB2312" w:hint="eastAsia"/>
                <w:kern w:val="0"/>
                <w:sz w:val="24"/>
              </w:rPr>
            </w:pPr>
            <w:r w:rsidRPr="00DD06EF">
              <w:rPr>
                <w:rFonts w:ascii="仿宋_GB2312" w:eastAsia="仿宋_GB2312" w:hint="eastAsia"/>
                <w:kern w:val="0"/>
                <w:sz w:val="24"/>
              </w:rPr>
              <w:t>非金属矿物制品工业专用设备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10-20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tabs>
                <w:tab w:val="center" w:pos="4153"/>
                <w:tab w:val="right" w:pos="8306"/>
              </w:tabs>
              <w:spacing w:line="600" w:lineRule="exact"/>
              <w:jc w:val="center"/>
              <w:rPr>
                <w:rFonts w:ascii="仿宋_GB2312" w:eastAsia="仿宋_GB2312" w:hint="eastAsia"/>
                <w:kern w:val="0"/>
                <w:sz w:val="24"/>
              </w:rPr>
            </w:pPr>
            <w:r w:rsidRPr="00DD06EF">
              <w:rPr>
                <w:rFonts w:ascii="仿宋_GB2312" w:eastAsia="仿宋_GB2312" w:hint="eastAsia"/>
                <w:kern w:val="0"/>
                <w:sz w:val="24"/>
              </w:rPr>
              <w:t>核工业专用设备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20-30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tabs>
                <w:tab w:val="center" w:pos="4153"/>
                <w:tab w:val="right" w:pos="8306"/>
              </w:tabs>
              <w:spacing w:line="600" w:lineRule="exact"/>
              <w:jc w:val="center"/>
              <w:rPr>
                <w:rFonts w:ascii="仿宋_GB2312" w:eastAsia="仿宋_GB2312" w:hint="eastAsia"/>
                <w:kern w:val="0"/>
                <w:sz w:val="24"/>
              </w:rPr>
            </w:pPr>
            <w:r w:rsidRPr="00DD06EF">
              <w:rPr>
                <w:rFonts w:ascii="仿宋_GB2312" w:eastAsia="仿宋_GB2312" w:hint="eastAsia"/>
                <w:kern w:val="0"/>
                <w:sz w:val="24"/>
              </w:rPr>
              <w:t>航空航天工业专用设备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20-30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工程机械</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10-15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农业和林业机械</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10-15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木材采集和加工设备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tabs>
                <w:tab w:val="center" w:pos="4153"/>
                <w:tab w:val="right" w:pos="8306"/>
              </w:tabs>
              <w:spacing w:line="600" w:lineRule="exact"/>
              <w:jc w:val="center"/>
              <w:rPr>
                <w:rFonts w:ascii="仿宋_GB2312" w:eastAsia="仿宋_GB2312" w:hint="eastAsia"/>
                <w:kern w:val="0"/>
                <w:sz w:val="24"/>
              </w:rPr>
            </w:pPr>
            <w:r w:rsidRPr="00DD06EF">
              <w:rPr>
                <w:rFonts w:ascii="仿宋_GB2312" w:eastAsia="仿宋_GB2312" w:hint="eastAsia"/>
                <w:kern w:val="0"/>
                <w:sz w:val="24"/>
              </w:rPr>
              <w:t>10-15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食品加工专用设备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10-15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饮料加工设备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10-15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烟草加工设备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10-15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粮油作物和饲料加工设备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10-15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纺织设备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10-15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缝纫、服饰、制革和毛皮加工设备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10-15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tabs>
                <w:tab w:val="center" w:pos="4153"/>
                <w:tab w:val="right" w:pos="8306"/>
              </w:tabs>
              <w:spacing w:line="600" w:lineRule="exact"/>
              <w:jc w:val="center"/>
              <w:rPr>
                <w:rFonts w:ascii="仿宋_GB2312" w:eastAsia="仿宋_GB2312" w:hint="eastAsia"/>
                <w:color w:val="000000"/>
                <w:kern w:val="0"/>
                <w:sz w:val="24"/>
              </w:rPr>
            </w:pPr>
            <w:r w:rsidRPr="00DD06EF">
              <w:rPr>
                <w:rFonts w:ascii="仿宋_GB2312" w:eastAsia="仿宋_GB2312" w:hint="eastAsia"/>
                <w:color w:val="000000"/>
                <w:kern w:val="0"/>
                <w:sz w:val="24"/>
              </w:rPr>
              <w:t>造纸和印刷机械</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10-20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tabs>
                <w:tab w:val="center" w:pos="4153"/>
                <w:tab w:val="right" w:pos="8306"/>
              </w:tabs>
              <w:spacing w:line="600" w:lineRule="exact"/>
              <w:jc w:val="center"/>
              <w:rPr>
                <w:rFonts w:ascii="仿宋_GB2312" w:eastAsia="仿宋_GB2312" w:hint="eastAsia"/>
                <w:color w:val="000000"/>
                <w:kern w:val="0"/>
                <w:sz w:val="24"/>
              </w:rPr>
            </w:pPr>
            <w:r w:rsidRPr="00DD06EF">
              <w:rPr>
                <w:rFonts w:ascii="仿宋_GB2312" w:eastAsia="仿宋_GB2312" w:hint="eastAsia"/>
                <w:color w:val="000000"/>
                <w:kern w:val="0"/>
                <w:sz w:val="24"/>
              </w:rPr>
              <w:t>化学药品和中药专用设备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5-10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医疗设备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5-10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电工、电子专用生产设备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5-10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tabs>
                <w:tab w:val="center" w:pos="4153"/>
                <w:tab w:val="right" w:pos="8306"/>
              </w:tabs>
              <w:spacing w:line="600" w:lineRule="exact"/>
              <w:jc w:val="center"/>
              <w:rPr>
                <w:rFonts w:ascii="仿宋_GB2312" w:eastAsia="仿宋_GB2312" w:hint="eastAsia"/>
                <w:color w:val="000000"/>
                <w:kern w:val="0"/>
                <w:sz w:val="24"/>
              </w:rPr>
            </w:pPr>
            <w:r w:rsidRPr="00DD06EF">
              <w:rPr>
                <w:rFonts w:ascii="仿宋_GB2312" w:eastAsia="仿宋_GB2312" w:hint="eastAsia"/>
                <w:color w:val="000000"/>
                <w:kern w:val="0"/>
                <w:sz w:val="24"/>
              </w:rPr>
              <w:t>安全生产设备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10-20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tabs>
                <w:tab w:val="center" w:pos="4153"/>
                <w:tab w:val="right" w:pos="8306"/>
              </w:tabs>
              <w:spacing w:line="600" w:lineRule="exact"/>
              <w:jc w:val="center"/>
              <w:rPr>
                <w:rFonts w:ascii="仿宋_GB2312" w:eastAsia="仿宋_GB2312" w:hint="eastAsia"/>
                <w:color w:val="000000"/>
                <w:kern w:val="0"/>
                <w:sz w:val="24"/>
              </w:rPr>
            </w:pPr>
            <w:r w:rsidRPr="00DD06EF">
              <w:rPr>
                <w:rFonts w:ascii="仿宋_GB2312" w:eastAsia="仿宋_GB2312" w:hint="eastAsia"/>
                <w:color w:val="000000"/>
                <w:kern w:val="0"/>
                <w:sz w:val="24"/>
              </w:rPr>
              <w:t>邮政专用设备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10-15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tabs>
                <w:tab w:val="center" w:pos="4153"/>
                <w:tab w:val="right" w:pos="8306"/>
              </w:tabs>
              <w:spacing w:line="600" w:lineRule="exact"/>
              <w:jc w:val="center"/>
              <w:rPr>
                <w:rFonts w:ascii="仿宋_GB2312" w:eastAsia="仿宋_GB2312" w:hint="eastAsia"/>
                <w:kern w:val="0"/>
                <w:sz w:val="24"/>
              </w:rPr>
            </w:pPr>
            <w:r w:rsidRPr="00DD06EF">
              <w:rPr>
                <w:rFonts w:ascii="仿宋_GB2312" w:eastAsia="仿宋_GB2312" w:hint="eastAsia"/>
                <w:kern w:val="0"/>
                <w:sz w:val="24"/>
              </w:rPr>
              <w:t>环境污染防治设备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10-20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tabs>
                <w:tab w:val="center" w:pos="4153"/>
                <w:tab w:val="right" w:pos="8306"/>
              </w:tabs>
              <w:spacing w:line="600" w:lineRule="exact"/>
              <w:jc w:val="center"/>
              <w:rPr>
                <w:rFonts w:ascii="仿宋_GB2312" w:eastAsia="仿宋_GB2312" w:hint="eastAsia"/>
                <w:kern w:val="0"/>
                <w:sz w:val="24"/>
              </w:rPr>
            </w:pPr>
            <w:r w:rsidRPr="00DD06EF">
              <w:rPr>
                <w:rFonts w:ascii="仿宋_GB2312" w:eastAsia="仿宋_GB2312" w:hint="eastAsia"/>
                <w:kern w:val="0"/>
                <w:sz w:val="24"/>
              </w:rPr>
              <w:t>公安专用设备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3-10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tabs>
                <w:tab w:val="center" w:pos="4153"/>
                <w:tab w:val="right" w:pos="8306"/>
              </w:tabs>
              <w:spacing w:line="600" w:lineRule="exact"/>
              <w:jc w:val="center"/>
              <w:rPr>
                <w:rFonts w:ascii="仿宋_GB2312" w:eastAsia="仿宋_GB2312" w:hint="eastAsia"/>
                <w:kern w:val="0"/>
                <w:sz w:val="24"/>
              </w:rPr>
            </w:pPr>
            <w:r w:rsidRPr="00DD06EF">
              <w:rPr>
                <w:rFonts w:ascii="仿宋_GB2312" w:eastAsia="仿宋_GB2312" w:hint="eastAsia"/>
                <w:kern w:val="0"/>
                <w:sz w:val="24"/>
              </w:rPr>
              <w:t>水工机械</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10-20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tabs>
                <w:tab w:val="center" w:pos="4153"/>
                <w:tab w:val="right" w:pos="8306"/>
              </w:tabs>
              <w:spacing w:line="600" w:lineRule="exact"/>
              <w:jc w:val="center"/>
              <w:rPr>
                <w:rFonts w:ascii="仿宋_GB2312" w:eastAsia="仿宋_GB2312" w:hint="eastAsia"/>
                <w:kern w:val="0"/>
                <w:sz w:val="24"/>
              </w:rPr>
            </w:pPr>
            <w:r w:rsidRPr="00DD06EF">
              <w:rPr>
                <w:rFonts w:ascii="仿宋_GB2312" w:eastAsia="仿宋_GB2312" w:hint="eastAsia"/>
                <w:kern w:val="0"/>
                <w:sz w:val="24"/>
              </w:rPr>
              <w:t>殡葬设备及用品</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5-10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tabs>
                <w:tab w:val="center" w:pos="4153"/>
                <w:tab w:val="right" w:pos="8306"/>
              </w:tabs>
              <w:spacing w:line="600" w:lineRule="exact"/>
              <w:jc w:val="center"/>
              <w:rPr>
                <w:rFonts w:ascii="仿宋_GB2312" w:eastAsia="仿宋_GB2312" w:hint="eastAsia"/>
                <w:kern w:val="0"/>
                <w:sz w:val="24"/>
              </w:rPr>
            </w:pPr>
            <w:r w:rsidRPr="00DD06EF">
              <w:rPr>
                <w:rFonts w:ascii="仿宋_GB2312" w:eastAsia="仿宋_GB2312" w:hint="eastAsia"/>
                <w:kern w:val="0"/>
                <w:sz w:val="24"/>
              </w:rPr>
              <w:t>铁路运输设备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10-20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tabs>
                <w:tab w:val="center" w:pos="4153"/>
                <w:tab w:val="right" w:pos="8306"/>
              </w:tabs>
              <w:spacing w:line="600" w:lineRule="exact"/>
              <w:jc w:val="center"/>
              <w:rPr>
                <w:rFonts w:ascii="仿宋_GB2312" w:eastAsia="仿宋_GB2312" w:hint="eastAsia"/>
                <w:kern w:val="0"/>
                <w:sz w:val="24"/>
              </w:rPr>
            </w:pPr>
            <w:r w:rsidRPr="00DD06EF">
              <w:rPr>
                <w:rFonts w:ascii="仿宋_GB2312" w:eastAsia="仿宋_GB2312" w:hint="eastAsia"/>
                <w:kern w:val="0"/>
                <w:sz w:val="24"/>
              </w:rPr>
              <w:t>水上交通运输设备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10-20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航空器及其配套设备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10-20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专用仪器仪表</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5-10</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文艺设备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5-15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体育设备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5-15</w:t>
            </w:r>
          </w:p>
        </w:tc>
      </w:tr>
      <w:tr w:rsidR="00551384" w:rsidRPr="00DD06EF" w:rsidTr="00A70DC3">
        <w:trPr>
          <w:trHeight w:val="402"/>
        </w:trPr>
        <w:tc>
          <w:tcPr>
            <w:tcW w:w="1227" w:type="pct"/>
            <w:vMerge/>
            <w:tcBorders>
              <w:top w:val="nil"/>
              <w:left w:val="single" w:sz="4" w:space="0" w:color="auto"/>
              <w:bottom w:val="single" w:sz="4" w:space="0" w:color="auto"/>
              <w:right w:val="single" w:sz="4" w:space="0" w:color="auto"/>
            </w:tcBorders>
            <w:vAlign w:val="center"/>
          </w:tcPr>
          <w:p w:rsidR="00551384" w:rsidRPr="00DD06EF" w:rsidRDefault="00551384" w:rsidP="00A70DC3">
            <w:pPr>
              <w:widowControl/>
              <w:spacing w:line="600" w:lineRule="exact"/>
              <w:jc w:val="left"/>
              <w:rPr>
                <w:rFonts w:ascii="仿宋_GB2312" w:eastAsia="仿宋_GB2312" w:hint="eastAsia"/>
                <w:kern w:val="0"/>
                <w:sz w:val="24"/>
              </w:rPr>
            </w:pP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娱乐设备</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5-15</w:t>
            </w:r>
          </w:p>
        </w:tc>
      </w:tr>
      <w:tr w:rsidR="00551384" w:rsidRPr="00DD06EF" w:rsidTr="00A70DC3">
        <w:trPr>
          <w:trHeight w:val="255"/>
        </w:trPr>
        <w:tc>
          <w:tcPr>
            <w:tcW w:w="1227" w:type="pct"/>
            <w:vMerge w:val="restart"/>
            <w:tcBorders>
              <w:top w:val="nil"/>
              <w:left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家具、用具及装具</w:t>
            </w:r>
          </w:p>
        </w:tc>
        <w:tc>
          <w:tcPr>
            <w:tcW w:w="2567" w:type="pct"/>
            <w:gridSpan w:val="2"/>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家具</w:t>
            </w:r>
          </w:p>
        </w:tc>
        <w:tc>
          <w:tcPr>
            <w:tcW w:w="1206" w:type="pct"/>
            <w:tcBorders>
              <w:top w:val="nil"/>
              <w:left w:val="nil"/>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不低于15</w:t>
            </w:r>
          </w:p>
        </w:tc>
      </w:tr>
      <w:tr w:rsidR="00551384" w:rsidRPr="00DD06EF" w:rsidTr="00A70DC3">
        <w:trPr>
          <w:trHeight w:val="42"/>
        </w:trPr>
        <w:tc>
          <w:tcPr>
            <w:tcW w:w="1227" w:type="pct"/>
            <w:vMerge/>
            <w:tcBorders>
              <w:left w:val="single" w:sz="4" w:space="0" w:color="auto"/>
              <w:bottom w:val="single" w:sz="4" w:space="0" w:color="auto"/>
              <w:right w:val="single" w:sz="4" w:space="0" w:color="auto"/>
            </w:tcBorders>
            <w:noWrap/>
            <w:vAlign w:val="center"/>
          </w:tcPr>
          <w:p w:rsidR="00551384" w:rsidRPr="00DD06EF" w:rsidRDefault="00551384" w:rsidP="00A70DC3">
            <w:pPr>
              <w:widowControl/>
              <w:spacing w:line="600" w:lineRule="exact"/>
              <w:jc w:val="center"/>
              <w:rPr>
                <w:rFonts w:ascii="仿宋_GB2312" w:eastAsia="仿宋_GB2312" w:hint="eastAsia"/>
                <w:kern w:val="0"/>
                <w:sz w:val="24"/>
              </w:rPr>
            </w:pPr>
          </w:p>
        </w:tc>
        <w:tc>
          <w:tcPr>
            <w:tcW w:w="2567" w:type="pct"/>
            <w:gridSpan w:val="2"/>
            <w:tcBorders>
              <w:top w:val="single" w:sz="4" w:space="0" w:color="auto"/>
              <w:left w:val="nil"/>
              <w:bottom w:val="single" w:sz="4" w:space="0" w:color="auto"/>
              <w:right w:val="single" w:sz="4" w:space="0" w:color="auto"/>
            </w:tcBorders>
            <w:noWrap/>
            <w:vAlign w:val="center"/>
          </w:tcPr>
          <w:p w:rsidR="00551384" w:rsidRPr="00DD06EF" w:rsidRDefault="00551384" w:rsidP="00A70DC3">
            <w:pPr>
              <w:spacing w:line="600" w:lineRule="exact"/>
              <w:jc w:val="center"/>
              <w:rPr>
                <w:rFonts w:ascii="仿宋_GB2312" w:eastAsia="仿宋_GB2312" w:hint="eastAsia"/>
                <w:kern w:val="0"/>
                <w:sz w:val="24"/>
              </w:rPr>
            </w:pPr>
            <w:r w:rsidRPr="00DD06EF">
              <w:rPr>
                <w:rFonts w:ascii="仿宋_GB2312" w:eastAsia="仿宋_GB2312" w:hint="eastAsia"/>
                <w:kern w:val="0"/>
                <w:sz w:val="24"/>
              </w:rPr>
              <w:t>用具、装具</w:t>
            </w:r>
          </w:p>
        </w:tc>
        <w:tc>
          <w:tcPr>
            <w:tcW w:w="1206" w:type="pct"/>
            <w:tcBorders>
              <w:top w:val="single" w:sz="4" w:space="0" w:color="auto"/>
              <w:left w:val="nil"/>
              <w:bottom w:val="single" w:sz="4" w:space="0" w:color="auto"/>
              <w:right w:val="single" w:sz="4" w:space="0" w:color="auto"/>
            </w:tcBorders>
            <w:noWrap/>
            <w:vAlign w:val="center"/>
          </w:tcPr>
          <w:p w:rsidR="00551384" w:rsidRPr="00DD06EF" w:rsidRDefault="00551384" w:rsidP="00A70DC3">
            <w:pPr>
              <w:spacing w:line="600" w:lineRule="exact"/>
              <w:jc w:val="center"/>
              <w:rPr>
                <w:rFonts w:ascii="仿宋_GB2312" w:eastAsia="仿宋_GB2312" w:hint="eastAsia"/>
                <w:kern w:val="0"/>
                <w:sz w:val="24"/>
              </w:rPr>
            </w:pPr>
            <w:r w:rsidRPr="00DD06EF">
              <w:rPr>
                <w:rFonts w:ascii="仿宋_GB2312" w:eastAsia="仿宋_GB2312" w:hint="eastAsia"/>
                <w:kern w:val="0"/>
                <w:sz w:val="24"/>
              </w:rPr>
              <w:t>不低于5</w:t>
            </w:r>
          </w:p>
        </w:tc>
      </w:tr>
    </w:tbl>
    <w:p w:rsidR="00551384" w:rsidRPr="00DD06EF" w:rsidRDefault="00551384" w:rsidP="00551384">
      <w:pPr>
        <w:spacing w:line="600" w:lineRule="exact"/>
        <w:rPr>
          <w:rFonts w:ascii="仿宋_GB2312" w:eastAsia="仿宋_GB2312" w:hAnsi="仿宋" w:hint="eastAsia"/>
          <w:sz w:val="32"/>
          <w:szCs w:val="32"/>
        </w:rPr>
      </w:pPr>
    </w:p>
    <w:p w:rsidR="00551384" w:rsidRPr="00DD06EF" w:rsidRDefault="00551384" w:rsidP="00551384">
      <w:pPr>
        <w:spacing w:line="600" w:lineRule="exact"/>
        <w:rPr>
          <w:rFonts w:ascii="仿宋_GB2312" w:eastAsia="仿宋_GB2312" w:hint="eastAsia"/>
          <w:sz w:val="32"/>
          <w:szCs w:val="32"/>
        </w:rPr>
      </w:pPr>
    </w:p>
    <w:p w:rsidR="00551384" w:rsidRPr="001A6118" w:rsidRDefault="00551384">
      <w:pPr>
        <w:spacing w:line="80" w:lineRule="exact"/>
        <w:rPr>
          <w:sz w:val="32"/>
          <w:szCs w:val="32"/>
          <w:u w:val="single"/>
        </w:rPr>
      </w:pPr>
    </w:p>
    <w:sectPr w:rsidR="00551384" w:rsidRPr="001A6118" w:rsidSect="008B0093">
      <w:footerReference w:type="even" r:id="rId9"/>
      <w:footerReference w:type="default" r:id="rId10"/>
      <w:endnotePr>
        <w:numFmt w:val="decimal"/>
      </w:endnotePr>
      <w:pgSz w:w="11906" w:h="16838"/>
      <w:pgMar w:top="1701" w:right="1531" w:bottom="1701" w:left="1531" w:header="851" w:footer="1418"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093" w:rsidRDefault="008B0093" w:rsidP="008B0093">
      <w:r>
        <w:separator/>
      </w:r>
    </w:p>
  </w:endnote>
  <w:endnote w:type="continuationSeparator" w:id="0">
    <w:p w:rsidR="008B0093" w:rsidRDefault="008B0093" w:rsidP="008B0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
    <w:altName w:val="Arial Unicode MS"/>
    <w:panose1 w:val="02010609060101010101"/>
    <w:charset w:val="86"/>
    <w:family w:val="modern"/>
    <w:pitch w:val="fixed"/>
    <w:sig w:usb0="00000000" w:usb1="38CF7CFA" w:usb2="00000016" w:usb3="00000000" w:csb0="00040001" w:csb1="00000000"/>
  </w:font>
  <w:font w:name="黑体">
    <w:altName w:val="Arial Unicode MS"/>
    <w:panose1 w:val="02010609060101010101"/>
    <w:charset w:val="86"/>
    <w:family w:val="modern"/>
    <w:notTrueType/>
    <w:pitch w:val="fixed"/>
    <w:sig w:usb0="00000000" w:usb1="080E0000" w:usb2="00000010" w:usb3="00000000" w:csb0="00040000" w:csb1="00000000"/>
  </w:font>
  <w:font w:name="华文仿宋">
    <w:altName w:val="MS Mincho"/>
    <w:panose1 w:val="02010600040101010101"/>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093" w:rsidRDefault="003C52F6">
    <w:pPr>
      <w:pStyle w:val="a9"/>
      <w:framePr w:wrap="around" w:vAnchor="text" w:hAnchor="margin" w:xAlign="outside" w:y="1"/>
      <w:rPr>
        <w:rStyle w:val="ad"/>
      </w:rPr>
    </w:pPr>
    <w:r>
      <w:fldChar w:fldCharType="begin"/>
    </w:r>
    <w:r w:rsidR="00544E32">
      <w:rPr>
        <w:rStyle w:val="ad"/>
      </w:rPr>
      <w:instrText xml:space="preserve">PAGE  </w:instrText>
    </w:r>
    <w:r>
      <w:fldChar w:fldCharType="separate"/>
    </w:r>
    <w:r w:rsidR="00544E32">
      <w:rPr>
        <w:rStyle w:val="ad"/>
      </w:rPr>
      <w:t>- 1 -</w:t>
    </w:r>
    <w:r>
      <w:fldChar w:fldCharType="end"/>
    </w:r>
  </w:p>
  <w:p w:rsidR="008B0093" w:rsidRDefault="008B0093">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093" w:rsidRDefault="003C52F6">
    <w:pPr>
      <w:pStyle w:val="a9"/>
      <w:framePr w:wrap="around" w:vAnchor="text" w:hAnchor="margin" w:xAlign="outside" w:y="1"/>
      <w:rPr>
        <w:rStyle w:val="ad"/>
        <w:sz w:val="28"/>
        <w:szCs w:val="28"/>
      </w:rPr>
    </w:pPr>
    <w:r>
      <w:rPr>
        <w:sz w:val="28"/>
        <w:szCs w:val="28"/>
      </w:rPr>
      <w:fldChar w:fldCharType="begin"/>
    </w:r>
    <w:r w:rsidR="00544E32">
      <w:rPr>
        <w:rStyle w:val="ad"/>
        <w:sz w:val="28"/>
        <w:szCs w:val="28"/>
      </w:rPr>
      <w:instrText xml:space="preserve">PAGE  </w:instrText>
    </w:r>
    <w:r>
      <w:rPr>
        <w:sz w:val="28"/>
        <w:szCs w:val="28"/>
      </w:rPr>
      <w:fldChar w:fldCharType="separate"/>
    </w:r>
    <w:r w:rsidR="00551384">
      <w:rPr>
        <w:rStyle w:val="ad"/>
        <w:noProof/>
        <w:sz w:val="28"/>
        <w:szCs w:val="28"/>
      </w:rPr>
      <w:t>- 2 -</w:t>
    </w:r>
    <w:r>
      <w:rPr>
        <w:sz w:val="28"/>
        <w:szCs w:val="28"/>
      </w:rPr>
      <w:fldChar w:fldCharType="end"/>
    </w:r>
  </w:p>
  <w:p w:rsidR="008B0093" w:rsidRDefault="008B0093">
    <w:pPr>
      <w:pStyle w:val="a9"/>
      <w:framePr w:w="299" w:wrap="around" w:vAnchor="text" w:hAnchor="margin" w:xAlign="center" w:y="7"/>
      <w:ind w:right="360" w:firstLine="360"/>
      <w:rPr>
        <w:rStyle w:val="ad"/>
      </w:rPr>
    </w:pPr>
  </w:p>
  <w:p w:rsidR="008B0093" w:rsidRDefault="008B009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093" w:rsidRDefault="008B0093" w:rsidP="008B0093">
      <w:r>
        <w:separator/>
      </w:r>
    </w:p>
  </w:footnote>
  <w:footnote w:type="continuationSeparator" w:id="0">
    <w:p w:rsidR="008B0093" w:rsidRDefault="008B0093" w:rsidP="008B0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84" w:rsidRDefault="00551384" w:rsidP="00BD2390">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153D15"/>
    <w:multiLevelType w:val="singleLevel"/>
    <w:tmpl w:val="8A153D15"/>
    <w:lvl w:ilvl="0">
      <w:start w:val="2"/>
      <w:numFmt w:val="decimal"/>
      <w:suff w:val="space"/>
      <w:lvlText w:val="%1."/>
      <w:lvlJc w:val="left"/>
    </w:lvl>
  </w:abstractNum>
  <w:abstractNum w:abstractNumId="1">
    <w:nsid w:val="5A3FCDC5"/>
    <w:multiLevelType w:val="singleLevel"/>
    <w:tmpl w:val="5A3FCDC5"/>
    <w:lvl w:ilvl="0">
      <w:start w:val="11"/>
      <w:numFmt w:val="chineseCounting"/>
      <w:suff w:val="space"/>
      <w:lvlText w:val="第%1条"/>
      <w:lvlJc w:val="left"/>
    </w:lvl>
  </w:abstractNum>
  <w:abstractNum w:abstractNumId="2">
    <w:nsid w:val="63D9BAC6"/>
    <w:multiLevelType w:val="singleLevel"/>
    <w:tmpl w:val="63D9BAC6"/>
    <w:lvl w:ilvl="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2A2E"/>
    <w:rsid w:val="000151B3"/>
    <w:rsid w:val="00054963"/>
    <w:rsid w:val="0008017F"/>
    <w:rsid w:val="000955D4"/>
    <w:rsid w:val="000D37E2"/>
    <w:rsid w:val="000F74D8"/>
    <w:rsid w:val="00116DE5"/>
    <w:rsid w:val="001501A8"/>
    <w:rsid w:val="00172A27"/>
    <w:rsid w:val="00173DCE"/>
    <w:rsid w:val="00180490"/>
    <w:rsid w:val="001863D0"/>
    <w:rsid w:val="001A5FC8"/>
    <w:rsid w:val="001A6118"/>
    <w:rsid w:val="00211540"/>
    <w:rsid w:val="00240586"/>
    <w:rsid w:val="002669CC"/>
    <w:rsid w:val="00276841"/>
    <w:rsid w:val="00285871"/>
    <w:rsid w:val="002956F5"/>
    <w:rsid w:val="002C1522"/>
    <w:rsid w:val="002C6018"/>
    <w:rsid w:val="00302FCE"/>
    <w:rsid w:val="00317F11"/>
    <w:rsid w:val="00363B44"/>
    <w:rsid w:val="0037011F"/>
    <w:rsid w:val="00371B44"/>
    <w:rsid w:val="003847F7"/>
    <w:rsid w:val="003C3CEC"/>
    <w:rsid w:val="003C52F6"/>
    <w:rsid w:val="0042385B"/>
    <w:rsid w:val="00475355"/>
    <w:rsid w:val="00483F1A"/>
    <w:rsid w:val="0049416B"/>
    <w:rsid w:val="004A263C"/>
    <w:rsid w:val="004C005E"/>
    <w:rsid w:val="004C2323"/>
    <w:rsid w:val="004C6D14"/>
    <w:rsid w:val="00503D2F"/>
    <w:rsid w:val="005358D7"/>
    <w:rsid w:val="00544E32"/>
    <w:rsid w:val="00551384"/>
    <w:rsid w:val="00570935"/>
    <w:rsid w:val="00581886"/>
    <w:rsid w:val="005848F5"/>
    <w:rsid w:val="005B3373"/>
    <w:rsid w:val="005E0E8A"/>
    <w:rsid w:val="005E23A5"/>
    <w:rsid w:val="005F7393"/>
    <w:rsid w:val="00602E5F"/>
    <w:rsid w:val="006151B1"/>
    <w:rsid w:val="0062778F"/>
    <w:rsid w:val="00637615"/>
    <w:rsid w:val="00664077"/>
    <w:rsid w:val="006A0406"/>
    <w:rsid w:val="006A37F5"/>
    <w:rsid w:val="006B51BA"/>
    <w:rsid w:val="006C5F4B"/>
    <w:rsid w:val="006E3A6B"/>
    <w:rsid w:val="006E71F7"/>
    <w:rsid w:val="0072173F"/>
    <w:rsid w:val="0073792B"/>
    <w:rsid w:val="00767AEA"/>
    <w:rsid w:val="00772990"/>
    <w:rsid w:val="00776402"/>
    <w:rsid w:val="007A75AF"/>
    <w:rsid w:val="007D1B05"/>
    <w:rsid w:val="00813A7D"/>
    <w:rsid w:val="00824682"/>
    <w:rsid w:val="00824F7F"/>
    <w:rsid w:val="0082772F"/>
    <w:rsid w:val="00856573"/>
    <w:rsid w:val="00865227"/>
    <w:rsid w:val="00880BB0"/>
    <w:rsid w:val="008A5535"/>
    <w:rsid w:val="008B0093"/>
    <w:rsid w:val="008B1C72"/>
    <w:rsid w:val="008E2190"/>
    <w:rsid w:val="008E6C10"/>
    <w:rsid w:val="008E7A65"/>
    <w:rsid w:val="008F41ED"/>
    <w:rsid w:val="009124EA"/>
    <w:rsid w:val="00932F75"/>
    <w:rsid w:val="00941D43"/>
    <w:rsid w:val="00941E27"/>
    <w:rsid w:val="00951472"/>
    <w:rsid w:val="009855B8"/>
    <w:rsid w:val="0099515B"/>
    <w:rsid w:val="009A7EA7"/>
    <w:rsid w:val="009F1E0F"/>
    <w:rsid w:val="009F3381"/>
    <w:rsid w:val="009F3F9C"/>
    <w:rsid w:val="00A42B13"/>
    <w:rsid w:val="00A52021"/>
    <w:rsid w:val="00A60A4E"/>
    <w:rsid w:val="00A7757D"/>
    <w:rsid w:val="00AA5EDD"/>
    <w:rsid w:val="00AD0E49"/>
    <w:rsid w:val="00AD2933"/>
    <w:rsid w:val="00B0091A"/>
    <w:rsid w:val="00B10FC3"/>
    <w:rsid w:val="00B11338"/>
    <w:rsid w:val="00B145BD"/>
    <w:rsid w:val="00B329E4"/>
    <w:rsid w:val="00B35F36"/>
    <w:rsid w:val="00B85612"/>
    <w:rsid w:val="00B86E67"/>
    <w:rsid w:val="00B94CF7"/>
    <w:rsid w:val="00B971E9"/>
    <w:rsid w:val="00BC620C"/>
    <w:rsid w:val="00BC6E8A"/>
    <w:rsid w:val="00BD1ADF"/>
    <w:rsid w:val="00BE18EE"/>
    <w:rsid w:val="00BE326C"/>
    <w:rsid w:val="00BF28DA"/>
    <w:rsid w:val="00C02314"/>
    <w:rsid w:val="00C141F8"/>
    <w:rsid w:val="00C23C73"/>
    <w:rsid w:val="00C2421B"/>
    <w:rsid w:val="00C61960"/>
    <w:rsid w:val="00C723D0"/>
    <w:rsid w:val="00CA6B13"/>
    <w:rsid w:val="00CB08E9"/>
    <w:rsid w:val="00CC1FBA"/>
    <w:rsid w:val="00CD64AC"/>
    <w:rsid w:val="00CF2646"/>
    <w:rsid w:val="00CF294D"/>
    <w:rsid w:val="00D0386B"/>
    <w:rsid w:val="00D214EE"/>
    <w:rsid w:val="00D34564"/>
    <w:rsid w:val="00D57DE8"/>
    <w:rsid w:val="00D62F9A"/>
    <w:rsid w:val="00D63332"/>
    <w:rsid w:val="00D824D9"/>
    <w:rsid w:val="00DB509B"/>
    <w:rsid w:val="00DC76F0"/>
    <w:rsid w:val="00DD6915"/>
    <w:rsid w:val="00DE1F31"/>
    <w:rsid w:val="00E02AF9"/>
    <w:rsid w:val="00E038BA"/>
    <w:rsid w:val="00E11CD5"/>
    <w:rsid w:val="00E34BC2"/>
    <w:rsid w:val="00E36DDF"/>
    <w:rsid w:val="00E81BAD"/>
    <w:rsid w:val="00ED004A"/>
    <w:rsid w:val="00ED0A7D"/>
    <w:rsid w:val="00EE025F"/>
    <w:rsid w:val="00F35657"/>
    <w:rsid w:val="00FA328F"/>
    <w:rsid w:val="00FA5798"/>
    <w:rsid w:val="00FD0819"/>
    <w:rsid w:val="00FD42DC"/>
    <w:rsid w:val="00FE17C9"/>
    <w:rsid w:val="77D25D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0093"/>
    <w:pPr>
      <w:widowControl w:val="0"/>
      <w:jc w:val="both"/>
    </w:pPr>
    <w:rPr>
      <w:rFonts w:ascii="Times New Roman" w:hAnsi="Times New Roman"/>
      <w:kern w:val="2"/>
      <w:sz w:val="21"/>
      <w:szCs w:val="24"/>
    </w:rPr>
  </w:style>
  <w:style w:type="paragraph" w:styleId="1">
    <w:name w:val="heading 1"/>
    <w:basedOn w:val="a"/>
    <w:next w:val="a"/>
    <w:qFormat/>
    <w:rsid w:val="008B0093"/>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BC62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semiHidden/>
    <w:unhideWhenUsed/>
    <w:qFormat/>
    <w:rsid w:val="00BC620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8B0093"/>
    <w:rPr>
      <w:rFonts w:ascii="仿宋_GB2312" w:eastAsia="仿宋_GB2312" w:hAnsi="宋体" w:cs="宋体"/>
      <w:kern w:val="0"/>
      <w:sz w:val="32"/>
      <w:szCs w:val="32"/>
    </w:rPr>
  </w:style>
  <w:style w:type="paragraph" w:styleId="a4">
    <w:name w:val="Closing"/>
    <w:basedOn w:val="a"/>
    <w:rsid w:val="008B0093"/>
    <w:pPr>
      <w:ind w:leftChars="2100" w:left="100"/>
    </w:pPr>
    <w:rPr>
      <w:rFonts w:ascii="仿宋_GB2312" w:eastAsia="仿宋_GB2312" w:hAnsi="宋体" w:cs="宋体"/>
      <w:kern w:val="0"/>
      <w:sz w:val="32"/>
      <w:szCs w:val="32"/>
    </w:rPr>
  </w:style>
  <w:style w:type="paragraph" w:styleId="a5">
    <w:name w:val="Body Text"/>
    <w:basedOn w:val="a"/>
    <w:rsid w:val="008B0093"/>
    <w:pPr>
      <w:jc w:val="center"/>
    </w:pPr>
    <w:rPr>
      <w:rFonts w:ascii="仿宋_GB2312" w:eastAsia="仿宋_GB2312"/>
      <w:sz w:val="44"/>
      <w:szCs w:val="32"/>
    </w:rPr>
  </w:style>
  <w:style w:type="paragraph" w:styleId="a6">
    <w:name w:val="Block Text"/>
    <w:basedOn w:val="a"/>
    <w:rsid w:val="008B0093"/>
    <w:pPr>
      <w:wordWrap w:val="0"/>
      <w:spacing w:line="600" w:lineRule="exact"/>
      <w:ind w:left="-210" w:right="-210" w:firstLineChars="200" w:firstLine="640"/>
    </w:pPr>
    <w:rPr>
      <w:rFonts w:ascii="仿宋_GB2312" w:eastAsia="仿宋_GB2312" w:cs="Tahoma"/>
      <w:color w:val="FF0000"/>
      <w:sz w:val="32"/>
      <w:szCs w:val="32"/>
    </w:rPr>
  </w:style>
  <w:style w:type="paragraph" w:styleId="a7">
    <w:name w:val="Date"/>
    <w:basedOn w:val="a"/>
    <w:next w:val="a"/>
    <w:rsid w:val="008B0093"/>
    <w:pPr>
      <w:ind w:leftChars="2500" w:left="100"/>
    </w:pPr>
  </w:style>
  <w:style w:type="paragraph" w:styleId="a8">
    <w:name w:val="Balloon Text"/>
    <w:basedOn w:val="a"/>
    <w:rsid w:val="008B0093"/>
    <w:rPr>
      <w:sz w:val="18"/>
      <w:szCs w:val="18"/>
    </w:rPr>
  </w:style>
  <w:style w:type="paragraph" w:styleId="a9">
    <w:name w:val="footer"/>
    <w:basedOn w:val="a"/>
    <w:rsid w:val="008B0093"/>
    <w:pPr>
      <w:tabs>
        <w:tab w:val="center" w:pos="4153"/>
        <w:tab w:val="right" w:pos="8306"/>
      </w:tabs>
      <w:snapToGrid w:val="0"/>
      <w:jc w:val="left"/>
    </w:pPr>
    <w:rPr>
      <w:sz w:val="18"/>
      <w:szCs w:val="18"/>
    </w:rPr>
  </w:style>
  <w:style w:type="paragraph" w:styleId="aa">
    <w:name w:val="header"/>
    <w:basedOn w:val="a"/>
    <w:rsid w:val="008B0093"/>
    <w:pPr>
      <w:pBdr>
        <w:bottom w:val="single" w:sz="6" w:space="1" w:color="auto"/>
      </w:pBdr>
      <w:tabs>
        <w:tab w:val="center" w:pos="4153"/>
        <w:tab w:val="right" w:pos="8306"/>
      </w:tabs>
      <w:snapToGrid w:val="0"/>
      <w:jc w:val="center"/>
    </w:pPr>
    <w:rPr>
      <w:sz w:val="18"/>
      <w:szCs w:val="18"/>
    </w:rPr>
  </w:style>
  <w:style w:type="paragraph" w:styleId="ab">
    <w:name w:val="Normal (Web)"/>
    <w:basedOn w:val="a"/>
    <w:rsid w:val="008B0093"/>
    <w:pPr>
      <w:widowControl/>
      <w:spacing w:before="100" w:beforeAutospacing="1" w:after="100" w:afterAutospacing="1"/>
      <w:jc w:val="left"/>
    </w:pPr>
    <w:rPr>
      <w:rFonts w:ascii="宋体" w:hAnsi="宋体" w:cs="宋体"/>
      <w:kern w:val="0"/>
      <w:sz w:val="24"/>
    </w:rPr>
  </w:style>
  <w:style w:type="character" w:styleId="ac">
    <w:name w:val="Strong"/>
    <w:qFormat/>
    <w:rsid w:val="008B0093"/>
    <w:rPr>
      <w:b/>
      <w:bCs/>
    </w:rPr>
  </w:style>
  <w:style w:type="character" w:styleId="ad">
    <w:name w:val="page number"/>
    <w:basedOn w:val="a0"/>
    <w:rsid w:val="008B0093"/>
  </w:style>
  <w:style w:type="character" w:styleId="ae">
    <w:name w:val="Hyperlink"/>
    <w:rsid w:val="008B0093"/>
    <w:rPr>
      <w:color w:val="0000FF"/>
      <w:u w:val="single"/>
    </w:rPr>
  </w:style>
  <w:style w:type="table" w:styleId="af">
    <w:name w:val="Table Grid"/>
    <w:basedOn w:val="a1"/>
    <w:uiPriority w:val="59"/>
    <w:rsid w:val="008B00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61">
    <w:name w:val="style161"/>
    <w:qFormat/>
    <w:rsid w:val="008B0093"/>
    <w:rPr>
      <w:sz w:val="18"/>
      <w:szCs w:val="18"/>
    </w:rPr>
  </w:style>
  <w:style w:type="paragraph" w:customStyle="1" w:styleId="Char">
    <w:name w:val="Char"/>
    <w:basedOn w:val="a"/>
    <w:rsid w:val="008B0093"/>
    <w:pPr>
      <w:widowControl/>
      <w:spacing w:after="160" w:line="240" w:lineRule="exact"/>
      <w:jc w:val="left"/>
    </w:pPr>
    <w:rPr>
      <w:rFonts w:ascii="Verdana" w:eastAsia="仿宋_GB2312" w:hAnsi="Verdana"/>
      <w:kern w:val="0"/>
      <w:sz w:val="24"/>
      <w:szCs w:val="20"/>
      <w:lang w:eastAsia="en-US"/>
    </w:rPr>
  </w:style>
  <w:style w:type="paragraph" w:customStyle="1" w:styleId="10">
    <w:name w:val="列出段落1"/>
    <w:basedOn w:val="a"/>
    <w:uiPriority w:val="99"/>
    <w:unhideWhenUsed/>
    <w:qFormat/>
    <w:rsid w:val="008B0093"/>
    <w:pPr>
      <w:ind w:firstLineChars="200" w:firstLine="420"/>
    </w:pPr>
    <w:rPr>
      <w:rFonts w:ascii="Calibri" w:hAnsi="Calibri"/>
    </w:rPr>
  </w:style>
  <w:style w:type="paragraph" w:customStyle="1" w:styleId="af0">
    <w:name w:val="抬头"/>
    <w:basedOn w:val="a"/>
    <w:qFormat/>
    <w:rsid w:val="008B0093"/>
    <w:pPr>
      <w:overflowPunct w:val="0"/>
      <w:adjustRightInd w:val="0"/>
      <w:snapToGrid w:val="0"/>
      <w:spacing w:line="560" w:lineRule="atLeast"/>
    </w:pPr>
    <w:rPr>
      <w:rFonts w:eastAsia="仿宋"/>
      <w:sz w:val="32"/>
      <w:szCs w:val="22"/>
    </w:rPr>
  </w:style>
  <w:style w:type="character" w:customStyle="1" w:styleId="2Char">
    <w:name w:val="标题 2 Char"/>
    <w:basedOn w:val="a0"/>
    <w:link w:val="2"/>
    <w:semiHidden/>
    <w:rsid w:val="00BC620C"/>
    <w:rPr>
      <w:rFonts w:asciiTheme="majorHAnsi" w:eastAsiaTheme="majorEastAsia" w:hAnsiTheme="majorHAnsi" w:cstheme="majorBidi"/>
      <w:b/>
      <w:bCs/>
      <w:kern w:val="2"/>
      <w:sz w:val="32"/>
      <w:szCs w:val="32"/>
    </w:rPr>
  </w:style>
  <w:style w:type="character" w:customStyle="1" w:styleId="4Char">
    <w:name w:val="标题 4 Char"/>
    <w:basedOn w:val="a0"/>
    <w:link w:val="4"/>
    <w:semiHidden/>
    <w:rsid w:val="00BC620C"/>
    <w:rPr>
      <w:rFonts w:asciiTheme="majorHAnsi" w:eastAsiaTheme="majorEastAsia" w:hAnsiTheme="majorHAnsi" w:cstheme="majorBidi"/>
      <w:b/>
      <w:bCs/>
      <w:kern w:val="2"/>
      <w:sz w:val="28"/>
      <w:szCs w:val="28"/>
    </w:rPr>
  </w:style>
  <w:style w:type="paragraph" w:customStyle="1" w:styleId="11">
    <w:name w:val="正文文本1"/>
    <w:basedOn w:val="a"/>
    <w:link w:val="af1"/>
    <w:rsid w:val="00317F11"/>
    <w:pPr>
      <w:shd w:val="clear" w:color="auto" w:fill="FFFFFF"/>
      <w:spacing w:line="437" w:lineRule="auto"/>
      <w:ind w:firstLine="400"/>
      <w:jc w:val="left"/>
    </w:pPr>
    <w:rPr>
      <w:rFonts w:ascii="黑体" w:eastAsia="黑体" w:hAnsi="黑体" w:cs="黑体"/>
      <w:color w:val="000000"/>
      <w:kern w:val="0"/>
      <w:sz w:val="30"/>
      <w:szCs w:val="30"/>
      <w:lang w:val="zh-CN" w:bidi="zh-CN"/>
    </w:rPr>
  </w:style>
  <w:style w:type="character" w:customStyle="1" w:styleId="af1">
    <w:name w:val="正文文本_"/>
    <w:basedOn w:val="a0"/>
    <w:link w:val="11"/>
    <w:rsid w:val="00317F11"/>
    <w:rPr>
      <w:rFonts w:ascii="黑体" w:eastAsia="黑体" w:hAnsi="黑体" w:cs="黑体"/>
      <w:color w:val="000000"/>
      <w:sz w:val="30"/>
      <w:szCs w:val="30"/>
      <w:shd w:val="clear" w:color="auto" w:fill="FFFFFF"/>
      <w:lang w:val="zh-CN" w:bidi="zh-CN"/>
    </w:rPr>
  </w:style>
</w:styles>
</file>

<file path=word/webSettings.xml><?xml version="1.0" encoding="utf-8"?>
<w:webSettings xmlns:r="http://schemas.openxmlformats.org/officeDocument/2006/relationships" xmlns:w="http://schemas.openxmlformats.org/wordprocessingml/2006/main">
  <w:divs>
    <w:div w:id="1059406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2767</Words>
  <Characters>659</Characters>
  <Application>Microsoft Office Word</Application>
  <DocSecurity>0</DocSecurity>
  <Lines>5</Lines>
  <Paragraphs>6</Paragraphs>
  <ScaleCrop>false</ScaleCrop>
  <Company>微软中国</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徐工院行〔2007〕号               签发人：</dc:title>
  <dc:creator>微软用户</dc:creator>
  <cp:lastModifiedBy>吴晓楠</cp:lastModifiedBy>
  <cp:revision>2</cp:revision>
  <cp:lastPrinted>2021-01-15T02:45:00Z</cp:lastPrinted>
  <dcterms:created xsi:type="dcterms:W3CDTF">2021-01-15T02:45:00Z</dcterms:created>
  <dcterms:modified xsi:type="dcterms:W3CDTF">2021-01-15T02:45:00Z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